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FECD" w14:textId="77777777" w:rsidR="00EA1D70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b/>
          <w:sz w:val="22"/>
          <w:szCs w:val="22"/>
        </w:rPr>
      </w:pPr>
    </w:p>
    <w:p w14:paraId="1262F0BE" w14:textId="46EC67AB" w:rsidR="00EA1D70" w:rsidRPr="002A41DD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NOTA </w:t>
      </w:r>
      <w:r w:rsidRPr="002A41DD">
        <w:rPr>
          <w:rFonts w:ascii="Calibri" w:hAnsi="Calibri" w:cs="Arial"/>
          <w:b/>
          <w:sz w:val="22"/>
          <w:szCs w:val="22"/>
        </w:rPr>
        <w:t xml:space="preserve">RELATIVA A LA </w:t>
      </w:r>
      <w:r>
        <w:rPr>
          <w:rFonts w:ascii="Calibri" w:hAnsi="Calibri" w:cs="Arial"/>
          <w:b/>
          <w:sz w:val="22"/>
          <w:szCs w:val="22"/>
        </w:rPr>
        <w:t xml:space="preserve">SUSPENSIÓN DEL LOTE </w:t>
      </w:r>
      <w:r w:rsidR="00694A24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2A41DD">
        <w:rPr>
          <w:rFonts w:ascii="Calibri" w:hAnsi="Calibri" w:cs="Arial"/>
          <w:b/>
          <w:sz w:val="22"/>
          <w:szCs w:val="22"/>
        </w:rPr>
        <w:t>DEL ACUERDO MARCO 01/201</w:t>
      </w:r>
      <w:r>
        <w:rPr>
          <w:rFonts w:ascii="Calibri" w:hAnsi="Calibri" w:cs="Arial"/>
          <w:b/>
          <w:sz w:val="22"/>
          <w:szCs w:val="22"/>
        </w:rPr>
        <w:t>9</w:t>
      </w:r>
      <w:r w:rsidRPr="002A41DD">
        <w:rPr>
          <w:rFonts w:ascii="Calibri" w:hAnsi="Calibri" w:cs="Arial"/>
          <w:b/>
          <w:sz w:val="22"/>
          <w:szCs w:val="22"/>
        </w:rPr>
        <w:t xml:space="preserve"> PARA EL SUMINISTRO DE MOBILIARIO DE DESPACHO Y COMPLEMENTARIO, DE ARCHIVO, DE BIBLIOTECAS, MAMPARAS, CLÍNICO Y GERIÁTRICO, Y DE LABORATORIO (EXPTE. 44/19)</w:t>
      </w:r>
      <w:r>
        <w:rPr>
          <w:rFonts w:ascii="Calibri" w:hAnsi="Calibri" w:cs="Arial"/>
          <w:b/>
          <w:sz w:val="22"/>
          <w:szCs w:val="22"/>
        </w:rPr>
        <w:t>, CORRESPONDIENTE A</w:t>
      </w:r>
      <w:r w:rsidRPr="00554763">
        <w:rPr>
          <w:rFonts w:ascii="Calibri" w:hAnsi="Calibri" w:cs="Arial"/>
          <w:b/>
          <w:sz w:val="22"/>
          <w:szCs w:val="22"/>
        </w:rPr>
        <w:t xml:space="preserve"> </w:t>
      </w:r>
      <w:r w:rsidR="00694A24">
        <w:rPr>
          <w:rFonts w:ascii="Calibri" w:hAnsi="Calibri" w:cs="Arial"/>
          <w:b/>
          <w:sz w:val="22"/>
          <w:szCs w:val="22"/>
        </w:rPr>
        <w:t>MUEBLES DE OFICINA GENERAL</w:t>
      </w:r>
    </w:p>
    <w:p w14:paraId="78BA5C92" w14:textId="3EA2170D" w:rsidR="00EA1D70" w:rsidRPr="002A41DD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sz w:val="22"/>
          <w:szCs w:val="22"/>
        </w:rPr>
      </w:pPr>
      <w:r w:rsidRPr="002A41DD">
        <w:rPr>
          <w:rFonts w:ascii="Calibri" w:hAnsi="Calibri" w:cs="Arial"/>
          <w:sz w:val="22"/>
          <w:szCs w:val="22"/>
        </w:rPr>
        <w:t xml:space="preserve">Desde el </w:t>
      </w:r>
      <w:r w:rsidR="00694A24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 xml:space="preserve"> de </w:t>
      </w:r>
      <w:r w:rsidR="00694A24">
        <w:rPr>
          <w:rFonts w:ascii="Calibri" w:hAnsi="Calibri" w:cs="Arial"/>
          <w:sz w:val="22"/>
          <w:szCs w:val="22"/>
        </w:rPr>
        <w:t>diciembre</w:t>
      </w:r>
      <w:r>
        <w:rPr>
          <w:rFonts w:ascii="Calibri" w:hAnsi="Calibri" w:cs="Arial"/>
          <w:sz w:val="22"/>
          <w:szCs w:val="22"/>
        </w:rPr>
        <w:t xml:space="preserve"> de 202</w:t>
      </w:r>
      <w:r w:rsidR="00694A24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</w:t>
      </w:r>
      <w:r w:rsidRPr="002A41DD">
        <w:rPr>
          <w:rFonts w:ascii="Calibri" w:hAnsi="Calibri" w:cs="Arial"/>
          <w:sz w:val="22"/>
          <w:szCs w:val="22"/>
        </w:rPr>
        <w:t xml:space="preserve">se encuentra en vigor el Lote </w:t>
      </w:r>
      <w:r w:rsidR="00694A24">
        <w:rPr>
          <w:rFonts w:ascii="Calibri" w:hAnsi="Calibri" w:cs="Arial"/>
          <w:sz w:val="22"/>
          <w:szCs w:val="22"/>
        </w:rPr>
        <w:t>2</w:t>
      </w:r>
      <w:r w:rsidRPr="002A41DD">
        <w:rPr>
          <w:rFonts w:ascii="Calibri" w:hAnsi="Calibri" w:cs="Arial"/>
          <w:sz w:val="22"/>
          <w:szCs w:val="22"/>
        </w:rPr>
        <w:t xml:space="preserve"> “</w:t>
      </w:r>
      <w:bookmarkStart w:id="0" w:name="_Hlk202430260"/>
      <w:r w:rsidR="00694A24">
        <w:rPr>
          <w:rFonts w:ascii="Calibri" w:hAnsi="Calibri" w:cs="Arial"/>
          <w:sz w:val="22"/>
          <w:szCs w:val="22"/>
        </w:rPr>
        <w:t>Muebles de oficina general</w:t>
      </w:r>
      <w:bookmarkEnd w:id="0"/>
      <w:r w:rsidRPr="002A41DD">
        <w:rPr>
          <w:rFonts w:ascii="Calibri" w:hAnsi="Calibri" w:cs="Arial"/>
          <w:sz w:val="22"/>
          <w:szCs w:val="22"/>
        </w:rPr>
        <w:t xml:space="preserve">” del Acuerdo Marco 01/2019 para el suministro de mobiliario de despacho y complementario, de archivo, de bibliotecas, mamparas, clínico y geriátrico, y de laboratorio, </w:t>
      </w:r>
      <w:r>
        <w:rPr>
          <w:rFonts w:ascii="Calibri" w:hAnsi="Calibri" w:cs="Arial"/>
          <w:sz w:val="22"/>
          <w:szCs w:val="22"/>
        </w:rPr>
        <w:t>prorrogado hasta el 31 de julio de 2025</w:t>
      </w:r>
      <w:r w:rsidRPr="002A41DD">
        <w:rPr>
          <w:rFonts w:ascii="Calibri" w:hAnsi="Calibri" w:cs="Arial"/>
          <w:sz w:val="22"/>
          <w:szCs w:val="22"/>
        </w:rPr>
        <w:t>.</w:t>
      </w:r>
    </w:p>
    <w:p w14:paraId="207E4C0B" w14:textId="13505CEE" w:rsidR="00EA1D70" w:rsidRPr="002A41DD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sz w:val="22"/>
          <w:szCs w:val="22"/>
        </w:rPr>
      </w:pPr>
      <w:r w:rsidRPr="002A41DD">
        <w:rPr>
          <w:rFonts w:ascii="Calibri" w:hAnsi="Calibri" w:cs="Arial"/>
          <w:sz w:val="22"/>
          <w:szCs w:val="22"/>
        </w:rPr>
        <w:t xml:space="preserve">La cláusula </w:t>
      </w:r>
      <w:r>
        <w:rPr>
          <w:rFonts w:ascii="Calibri" w:hAnsi="Calibri" w:cs="Arial"/>
          <w:sz w:val="22"/>
          <w:szCs w:val="22"/>
        </w:rPr>
        <w:t>5</w:t>
      </w:r>
      <w:r w:rsidRPr="002A41DD">
        <w:rPr>
          <w:rFonts w:ascii="Calibri" w:hAnsi="Calibri" w:cs="Arial"/>
          <w:sz w:val="22"/>
          <w:szCs w:val="22"/>
        </w:rPr>
        <w:t xml:space="preserve"> del Pliego de cláusulas </w:t>
      </w:r>
      <w:r>
        <w:rPr>
          <w:rFonts w:ascii="Calibri" w:hAnsi="Calibri" w:cs="Arial"/>
          <w:sz w:val="22"/>
          <w:szCs w:val="22"/>
        </w:rPr>
        <w:t>a</w:t>
      </w:r>
      <w:r w:rsidRPr="002A41DD">
        <w:rPr>
          <w:rFonts w:ascii="Calibri" w:hAnsi="Calibri" w:cs="Arial"/>
          <w:sz w:val="22"/>
          <w:szCs w:val="22"/>
        </w:rPr>
        <w:t xml:space="preserve">dministrativas </w:t>
      </w:r>
      <w:r>
        <w:rPr>
          <w:rFonts w:ascii="Calibri" w:hAnsi="Calibri" w:cs="Arial"/>
          <w:sz w:val="22"/>
          <w:szCs w:val="22"/>
        </w:rPr>
        <w:t>p</w:t>
      </w:r>
      <w:r w:rsidRPr="002A41DD">
        <w:rPr>
          <w:rFonts w:ascii="Calibri" w:hAnsi="Calibri" w:cs="Arial"/>
          <w:sz w:val="22"/>
          <w:szCs w:val="22"/>
        </w:rPr>
        <w:t xml:space="preserve">articulares que rige dicho acuerdo marco, </w:t>
      </w:r>
      <w:r>
        <w:rPr>
          <w:rFonts w:ascii="Calibri" w:hAnsi="Calibri" w:cs="Arial"/>
          <w:sz w:val="22"/>
          <w:szCs w:val="22"/>
        </w:rPr>
        <w:t xml:space="preserve">establece un valor estimado para este lote, que comprende el conjunto de contratos basados previstos durante la duración total del acuerdo marco, de </w:t>
      </w:r>
      <w:r w:rsidR="00694A24">
        <w:rPr>
          <w:rFonts w:ascii="Calibri" w:hAnsi="Calibri" w:cs="Arial"/>
          <w:sz w:val="22"/>
          <w:szCs w:val="22"/>
        </w:rPr>
        <w:t>35.088.000</w:t>
      </w:r>
      <w:r>
        <w:rPr>
          <w:rFonts w:ascii="Calibri" w:hAnsi="Calibri" w:cs="Arial"/>
          <w:sz w:val="22"/>
          <w:szCs w:val="22"/>
        </w:rPr>
        <w:t xml:space="preserve">,00 euros, modificado al alza por un importe de </w:t>
      </w:r>
      <w:r w:rsidR="00694A24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>.</w:t>
      </w:r>
      <w:r w:rsidR="00694A24">
        <w:rPr>
          <w:rFonts w:ascii="Calibri" w:hAnsi="Calibri" w:cs="Arial"/>
          <w:sz w:val="22"/>
          <w:szCs w:val="22"/>
        </w:rPr>
        <w:t>017</w:t>
      </w:r>
      <w:r>
        <w:rPr>
          <w:rFonts w:ascii="Calibri" w:hAnsi="Calibri" w:cs="Arial"/>
          <w:sz w:val="22"/>
          <w:szCs w:val="22"/>
        </w:rPr>
        <w:t>.</w:t>
      </w:r>
      <w:r w:rsidR="00694A24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00,00 euros, por Resolución del 7 de marzo de 2023, por lo que el valor estimado total es de </w:t>
      </w:r>
      <w:r w:rsidR="00694A24" w:rsidRPr="00694A24">
        <w:rPr>
          <w:rFonts w:ascii="Calibri" w:hAnsi="Calibri" w:cs="Arial"/>
          <w:sz w:val="22"/>
          <w:szCs w:val="22"/>
        </w:rPr>
        <w:t>42.105.600,00</w:t>
      </w:r>
      <w:r w:rsidR="00694A2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euros.</w:t>
      </w:r>
    </w:p>
    <w:p w14:paraId="28381757" w14:textId="18A03542" w:rsidR="00EA1D70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El importe de los contratos basados adjudicados correspondientes al citado lote </w:t>
      </w:r>
      <w:r w:rsidR="00CE58DC">
        <w:rPr>
          <w:rFonts w:ascii="Calibri" w:hAnsi="Calibri" w:cs="Arial"/>
          <w:sz w:val="22"/>
          <w:szCs w:val="22"/>
        </w:rPr>
        <w:t>2</w:t>
      </w:r>
      <w:r w:rsidRPr="002064ED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2064ED">
        <w:rPr>
          <w:rFonts w:ascii="Calibri" w:hAnsi="Calibri" w:cs="Arial"/>
          <w:sz w:val="22"/>
          <w:szCs w:val="22"/>
        </w:rPr>
        <w:t xml:space="preserve">impuestos indirectos excluidos, </w:t>
      </w:r>
      <w:r>
        <w:rPr>
          <w:rFonts w:ascii="Calibri" w:hAnsi="Calibri" w:cs="Arial"/>
          <w:sz w:val="22"/>
          <w:szCs w:val="22"/>
        </w:rPr>
        <w:t>al día de la fecha, sumado al importe de las propuestas de adjudicación pendientes</w:t>
      </w:r>
      <w:r w:rsidR="00DD67E7">
        <w:rPr>
          <w:rFonts w:ascii="Calibri" w:hAnsi="Calibri" w:cs="Arial"/>
          <w:sz w:val="22"/>
          <w:szCs w:val="22"/>
        </w:rPr>
        <w:t xml:space="preserve"> de adjudicación</w:t>
      </w:r>
      <w:r>
        <w:rPr>
          <w:rFonts w:ascii="Calibri" w:hAnsi="Calibri" w:cs="Arial"/>
          <w:sz w:val="22"/>
          <w:szCs w:val="22"/>
        </w:rPr>
        <w:t xml:space="preserve"> en la herramienta AUNA, </w:t>
      </w:r>
      <w:r w:rsidR="00DD67E7">
        <w:rPr>
          <w:rFonts w:ascii="Calibri" w:hAnsi="Calibri" w:cs="Arial"/>
          <w:sz w:val="22"/>
          <w:szCs w:val="22"/>
        </w:rPr>
        <w:t>excede</w:t>
      </w:r>
      <w:r>
        <w:rPr>
          <w:rFonts w:ascii="Calibri" w:hAnsi="Calibri" w:cs="Arial"/>
          <w:sz w:val="22"/>
          <w:szCs w:val="22"/>
        </w:rPr>
        <w:t xml:space="preserve"> </w:t>
      </w:r>
      <w:r w:rsidR="00DD67E7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el valor estimado máximo estimado del lote </w:t>
      </w:r>
      <w:r w:rsidR="00CE58DC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0AE43A2D" w14:textId="175B1AD0" w:rsidR="00EA1D70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Dado que el valor estimado máximo opera como límite </w:t>
      </w:r>
      <w:r w:rsidRPr="00554763">
        <w:rPr>
          <w:rFonts w:ascii="Calibri" w:hAnsi="Calibri" w:cs="Arial"/>
          <w:sz w:val="22"/>
          <w:szCs w:val="22"/>
        </w:rPr>
        <w:t>cuyo exceso determinará</w:t>
      </w:r>
      <w:r w:rsidRPr="00554763" w:rsidDel="0055476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la extinción del acuerdo marco</w:t>
      </w:r>
      <w:r w:rsidRPr="002A41DD">
        <w:rPr>
          <w:rFonts w:ascii="Calibri" w:hAnsi="Calibri" w:cs="Arial"/>
          <w:sz w:val="22"/>
          <w:szCs w:val="22"/>
        </w:rPr>
        <w:t xml:space="preserve">, </w:t>
      </w:r>
      <w:r w:rsidRPr="001308D3">
        <w:rPr>
          <w:rFonts w:ascii="Calibri" w:hAnsi="Calibri" w:cs="Arial"/>
          <w:bCs/>
          <w:sz w:val="22"/>
          <w:szCs w:val="22"/>
        </w:rPr>
        <w:t>esta Subdirección General</w:t>
      </w:r>
      <w:r w:rsidR="00DD67E7">
        <w:rPr>
          <w:rFonts w:ascii="Calibri" w:hAnsi="Calibri" w:cs="Arial"/>
          <w:bCs/>
          <w:sz w:val="22"/>
          <w:szCs w:val="22"/>
        </w:rPr>
        <w:t>, como responsable del acuerdo marco,</w:t>
      </w:r>
      <w:r>
        <w:rPr>
          <w:rFonts w:ascii="Calibri" w:hAnsi="Calibri" w:cs="Arial"/>
          <w:bCs/>
          <w:sz w:val="22"/>
          <w:szCs w:val="22"/>
        </w:rPr>
        <w:t xml:space="preserve"> ha iniciado</w:t>
      </w:r>
      <w:r w:rsidRPr="002A41DD">
        <w:rPr>
          <w:rFonts w:ascii="Calibri" w:hAnsi="Calibri" w:cs="Arial"/>
          <w:sz w:val="22"/>
          <w:szCs w:val="22"/>
        </w:rPr>
        <w:t xml:space="preserve"> las actuaciones necesarias dirigidas a la </w:t>
      </w:r>
      <w:r>
        <w:rPr>
          <w:rFonts w:ascii="Calibri" w:hAnsi="Calibri" w:cs="Arial"/>
          <w:sz w:val="22"/>
          <w:szCs w:val="22"/>
        </w:rPr>
        <w:t>extinción d</w:t>
      </w:r>
      <w:r w:rsidRPr="002A41DD">
        <w:rPr>
          <w:rFonts w:ascii="Calibri" w:hAnsi="Calibri" w:cs="Arial"/>
          <w:sz w:val="22"/>
          <w:szCs w:val="22"/>
        </w:rPr>
        <w:t xml:space="preserve">el </w:t>
      </w:r>
      <w:r>
        <w:rPr>
          <w:rFonts w:ascii="Calibri" w:hAnsi="Calibri" w:cs="Arial"/>
          <w:sz w:val="22"/>
          <w:szCs w:val="22"/>
        </w:rPr>
        <w:t xml:space="preserve">Lote </w:t>
      </w:r>
      <w:r w:rsidR="00CE58DC">
        <w:rPr>
          <w:rFonts w:ascii="Calibri" w:hAnsi="Calibri" w:cs="Arial"/>
          <w:sz w:val="22"/>
          <w:szCs w:val="22"/>
        </w:rPr>
        <w:t>2</w:t>
      </w:r>
      <w:r w:rsidRPr="002A41DD">
        <w:rPr>
          <w:rFonts w:ascii="Calibri" w:hAnsi="Calibri" w:cs="Arial"/>
          <w:sz w:val="22"/>
          <w:szCs w:val="22"/>
        </w:rPr>
        <w:t xml:space="preserve"> “</w:t>
      </w:r>
      <w:r w:rsidR="00CE58DC">
        <w:rPr>
          <w:rFonts w:ascii="Calibri" w:hAnsi="Calibri" w:cs="Arial"/>
          <w:sz w:val="22"/>
          <w:szCs w:val="22"/>
        </w:rPr>
        <w:t>Muebles de oficina general</w:t>
      </w:r>
      <w:r w:rsidRPr="002A41DD">
        <w:rPr>
          <w:rFonts w:ascii="Calibri" w:hAnsi="Calibri" w:cs="Arial"/>
          <w:sz w:val="22"/>
          <w:szCs w:val="22"/>
        </w:rPr>
        <w:t>” de</w:t>
      </w:r>
      <w:r>
        <w:rPr>
          <w:rFonts w:ascii="Calibri" w:hAnsi="Calibri" w:cs="Arial"/>
          <w:sz w:val="22"/>
          <w:szCs w:val="22"/>
        </w:rPr>
        <w:t>l</w:t>
      </w:r>
      <w:r w:rsidRPr="002A41DD">
        <w:rPr>
          <w:rFonts w:ascii="Calibri" w:hAnsi="Calibri" w:cs="Arial"/>
          <w:sz w:val="22"/>
          <w:szCs w:val="22"/>
        </w:rPr>
        <w:t xml:space="preserve"> Acuerdo Marco 01/2019 para el suministro de mobiliario de despacho y complementario, de archivo, de bibliotecas, mamparas, clínico y geriátrico, y de laboratorio.</w:t>
      </w:r>
    </w:p>
    <w:p w14:paraId="70989474" w14:textId="7C9EDA58" w:rsidR="00EA1D70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bCs/>
          <w:sz w:val="22"/>
          <w:szCs w:val="22"/>
        </w:rPr>
      </w:pPr>
      <w:r w:rsidRPr="00EF4A45">
        <w:rPr>
          <w:rFonts w:ascii="Calibri" w:hAnsi="Calibri" w:cs="Arial"/>
          <w:bCs/>
          <w:sz w:val="22"/>
          <w:szCs w:val="22"/>
        </w:rPr>
        <w:t>La ext</w:t>
      </w:r>
      <w:r>
        <w:rPr>
          <w:rFonts w:ascii="Calibri" w:hAnsi="Calibri" w:cs="Arial"/>
          <w:bCs/>
          <w:sz w:val="22"/>
          <w:szCs w:val="22"/>
        </w:rPr>
        <w:t xml:space="preserve">inción de este lote conlleva la extinción del “catálogo </w:t>
      </w:r>
      <w:r w:rsidRPr="00333722">
        <w:rPr>
          <w:rFonts w:ascii="Calibri" w:hAnsi="Calibri" w:cs="Arial"/>
          <w:bCs/>
          <w:sz w:val="22"/>
          <w:szCs w:val="22"/>
        </w:rPr>
        <w:t>de compra directa</w:t>
      </w:r>
      <w:r>
        <w:rPr>
          <w:rFonts w:ascii="Calibri" w:hAnsi="Calibri" w:cs="Arial"/>
          <w:bCs/>
          <w:sz w:val="22"/>
          <w:szCs w:val="22"/>
        </w:rPr>
        <w:t>”</w:t>
      </w:r>
      <w:r w:rsidRPr="00333722">
        <w:rPr>
          <w:rFonts w:ascii="Calibri" w:hAnsi="Calibri" w:cs="Arial"/>
          <w:bCs/>
          <w:sz w:val="22"/>
          <w:szCs w:val="22"/>
        </w:rPr>
        <w:t xml:space="preserve"> de productos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333722">
        <w:rPr>
          <w:rFonts w:ascii="Calibri" w:hAnsi="Calibri" w:cs="Arial"/>
          <w:bCs/>
          <w:sz w:val="22"/>
          <w:szCs w:val="22"/>
        </w:rPr>
        <w:t xml:space="preserve">de categorías pertenecientes al Lote </w:t>
      </w:r>
      <w:r w:rsidR="00CE58DC">
        <w:rPr>
          <w:rFonts w:ascii="Calibri" w:hAnsi="Calibri" w:cs="Arial"/>
          <w:bCs/>
          <w:sz w:val="22"/>
          <w:szCs w:val="22"/>
        </w:rPr>
        <w:t>2</w:t>
      </w:r>
      <w:r w:rsidRPr="00333722">
        <w:rPr>
          <w:rFonts w:ascii="Calibri" w:hAnsi="Calibri" w:cs="Arial"/>
          <w:bCs/>
          <w:sz w:val="22"/>
          <w:szCs w:val="22"/>
        </w:rPr>
        <w:t xml:space="preserve"> “</w:t>
      </w:r>
      <w:r w:rsidR="00CE58DC" w:rsidRPr="00CE58DC">
        <w:rPr>
          <w:rFonts w:ascii="Calibri" w:hAnsi="Calibri" w:cs="Arial"/>
          <w:bCs/>
          <w:sz w:val="22"/>
          <w:szCs w:val="22"/>
        </w:rPr>
        <w:t>Muebles de oficina general</w:t>
      </w:r>
      <w:r w:rsidRPr="00333722">
        <w:rPr>
          <w:rFonts w:ascii="Calibri" w:hAnsi="Calibri" w:cs="Arial"/>
          <w:bCs/>
          <w:sz w:val="22"/>
          <w:szCs w:val="22"/>
        </w:rPr>
        <w:t>” del Acuerdo marco 01/2019 para el suministro de mobiliario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333722">
        <w:rPr>
          <w:rFonts w:ascii="Calibri" w:hAnsi="Calibri" w:cs="Arial"/>
          <w:bCs/>
          <w:sz w:val="22"/>
          <w:szCs w:val="22"/>
        </w:rPr>
        <w:t>de despacho y complementario, de archivo, de bibliotecas, mamparas, clínico y geriátrico, y de laboratorio</w:t>
      </w:r>
      <w:r>
        <w:rPr>
          <w:rFonts w:ascii="Calibri" w:hAnsi="Calibri" w:cs="Arial"/>
          <w:bCs/>
          <w:sz w:val="22"/>
          <w:szCs w:val="22"/>
        </w:rPr>
        <w:t xml:space="preserve">”, </w:t>
      </w:r>
      <w:r w:rsidRPr="00333722">
        <w:rPr>
          <w:rFonts w:ascii="Calibri" w:hAnsi="Calibri" w:cs="Arial"/>
          <w:bCs/>
          <w:sz w:val="22"/>
          <w:szCs w:val="22"/>
        </w:rPr>
        <w:t>de acuerdo con lo establecido en la cláusula 6 del documento de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333722">
        <w:rPr>
          <w:rFonts w:ascii="Calibri" w:hAnsi="Calibri" w:cs="Arial"/>
          <w:bCs/>
          <w:sz w:val="22"/>
          <w:szCs w:val="22"/>
        </w:rPr>
        <w:t>licitación</w:t>
      </w:r>
      <w:r>
        <w:rPr>
          <w:rFonts w:ascii="Calibri" w:hAnsi="Calibri" w:cs="Arial"/>
          <w:bCs/>
          <w:sz w:val="22"/>
          <w:szCs w:val="22"/>
        </w:rPr>
        <w:t xml:space="preserve">. </w:t>
      </w:r>
    </w:p>
    <w:p w14:paraId="28842A9E" w14:textId="773DDFD7" w:rsidR="00EA1D70" w:rsidRPr="00333722" w:rsidRDefault="00EA1D70" w:rsidP="00EA1D70">
      <w:pPr>
        <w:pStyle w:val="Textonotapie"/>
        <w:tabs>
          <w:tab w:val="left" w:pos="-3969"/>
        </w:tabs>
        <w:spacing w:after="240"/>
        <w:ind w:left="851" w:right="55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De acuerdo con lo anterior, y a fin de evitar que se inicien nuevos expedientes de contratación, procede suspender en la herramienta AUNA </w:t>
      </w:r>
      <w:r w:rsidRPr="00D12BC1">
        <w:rPr>
          <w:rFonts w:ascii="Calibri" w:hAnsi="Calibri" w:cs="Arial"/>
          <w:bCs/>
          <w:sz w:val="22"/>
          <w:szCs w:val="22"/>
        </w:rPr>
        <w:t xml:space="preserve">el Lote </w:t>
      </w:r>
      <w:r w:rsidR="00CE58DC">
        <w:rPr>
          <w:rFonts w:ascii="Calibri" w:hAnsi="Calibri" w:cs="Arial"/>
          <w:bCs/>
          <w:sz w:val="22"/>
          <w:szCs w:val="22"/>
        </w:rPr>
        <w:t>2</w:t>
      </w:r>
      <w:r w:rsidRPr="00D12BC1">
        <w:rPr>
          <w:rFonts w:ascii="Calibri" w:hAnsi="Calibri" w:cs="Arial"/>
          <w:bCs/>
          <w:sz w:val="22"/>
          <w:szCs w:val="22"/>
        </w:rPr>
        <w:t xml:space="preserve"> “</w:t>
      </w:r>
      <w:r w:rsidR="00CE58DC" w:rsidRPr="00CE58DC">
        <w:rPr>
          <w:rFonts w:ascii="Calibri" w:hAnsi="Calibri" w:cs="Arial"/>
          <w:bCs/>
          <w:sz w:val="22"/>
          <w:szCs w:val="22"/>
        </w:rPr>
        <w:t>Muebles de oficina general</w:t>
      </w:r>
      <w:r w:rsidRPr="00D12BC1">
        <w:rPr>
          <w:rFonts w:ascii="Calibri" w:hAnsi="Calibri" w:cs="Arial"/>
          <w:bCs/>
          <w:sz w:val="22"/>
          <w:szCs w:val="22"/>
        </w:rPr>
        <w:t>” del Acuerdo Marco 01/2019</w:t>
      </w:r>
      <w:r>
        <w:rPr>
          <w:rFonts w:ascii="Calibri" w:hAnsi="Calibri" w:cs="Arial"/>
          <w:bCs/>
          <w:sz w:val="22"/>
          <w:szCs w:val="22"/>
        </w:rPr>
        <w:t>.</w:t>
      </w:r>
    </w:p>
    <w:p w14:paraId="03570DF2" w14:textId="2F792382" w:rsidR="007D436C" w:rsidRPr="00EA1D70" w:rsidRDefault="007D436C" w:rsidP="00EA1D70"/>
    <w:sectPr w:rsidR="007D436C" w:rsidRPr="00EA1D70" w:rsidSect="00A1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567" w:bottom="1304" w:left="45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34C9" w14:textId="77777777" w:rsidR="00393144" w:rsidRDefault="00393144">
      <w:r>
        <w:separator/>
      </w:r>
    </w:p>
  </w:endnote>
  <w:endnote w:type="continuationSeparator" w:id="0">
    <w:p w14:paraId="0356E0FF" w14:textId="77777777" w:rsidR="00393144" w:rsidRDefault="003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243C" w14:textId="77777777" w:rsidR="00885DDC" w:rsidRDefault="00885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7"/>
      <w:gridCol w:w="425"/>
      <w:gridCol w:w="1985"/>
    </w:tblGrid>
    <w:tr w:rsidR="00EE5734" w:rsidRPr="00BD4E07" w14:paraId="7C8F8A9E" w14:textId="77777777" w:rsidTr="008C039A">
      <w:trPr>
        <w:trHeight w:val="284"/>
      </w:trPr>
      <w:tc>
        <w:tcPr>
          <w:tcW w:w="8647" w:type="dxa"/>
          <w:vMerge w:val="restart"/>
        </w:tcPr>
        <w:p w14:paraId="4D5CF6A6" w14:textId="77777777" w:rsidR="00EE5734" w:rsidRPr="00BD4E07" w:rsidRDefault="00EE5734" w:rsidP="00EE5734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tbl>
          <w:tblPr>
            <w:tblW w:w="1693" w:type="dxa"/>
            <w:tblInd w:w="175" w:type="dxa"/>
            <w:tblLook w:val="01E0" w:firstRow="1" w:lastRow="1" w:firstColumn="1" w:lastColumn="1" w:noHBand="0" w:noVBand="0"/>
          </w:tblPr>
          <w:tblGrid>
            <w:gridCol w:w="1693"/>
          </w:tblGrid>
          <w:tr w:rsidR="00EE5734" w:rsidRPr="00F8713E" w14:paraId="7A0D1A37" w14:textId="77777777" w:rsidTr="008C039A">
            <w:trPr>
              <w:cantSplit/>
              <w:trHeight w:val="276"/>
            </w:trPr>
            <w:tc>
              <w:tcPr>
                <w:tcW w:w="1693" w:type="dxa"/>
                <w:vMerge w:val="restart"/>
              </w:tcPr>
              <w:p w14:paraId="026F22F0" w14:textId="77777777" w:rsidR="00EE5734" w:rsidRDefault="00EE5734" w:rsidP="00EE5734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</w:p>
              <w:p w14:paraId="7C9C027D" w14:textId="77777777" w:rsidR="00EE5734" w:rsidRDefault="00EE5734" w:rsidP="00EE5734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</w:p>
              <w:p w14:paraId="08186330" w14:textId="77777777" w:rsidR="00EE5734" w:rsidRPr="00287C8C" w:rsidRDefault="00EE5734" w:rsidP="00EE5734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MINISTERIO</w:t>
                </w:r>
              </w:p>
              <w:p w14:paraId="2AA1D087" w14:textId="77777777" w:rsidR="00EE5734" w:rsidRDefault="00EE5734" w:rsidP="00EE5734">
                <w:pPr>
                  <w:pStyle w:val="Encabezado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DE HACIENDA</w:t>
                </w:r>
              </w:p>
              <w:p w14:paraId="1CC98557" w14:textId="77777777" w:rsidR="007D436C" w:rsidRPr="00F8713E" w:rsidRDefault="007D436C" w:rsidP="00EE5734">
                <w:pPr>
                  <w:pStyle w:val="Encabezado"/>
                  <w:rPr>
                    <w:sz w:val="2"/>
                    <w:szCs w:val="2"/>
                  </w:rPr>
                </w:pPr>
              </w:p>
            </w:tc>
          </w:tr>
          <w:tr w:rsidR="00EE5734" w:rsidRPr="00F8713E" w14:paraId="00B41EA7" w14:textId="77777777" w:rsidTr="008C039A">
            <w:trPr>
              <w:cantSplit/>
              <w:trHeight w:val="253"/>
            </w:trPr>
            <w:tc>
              <w:tcPr>
                <w:tcW w:w="1693" w:type="dxa"/>
                <w:vMerge/>
              </w:tcPr>
              <w:p w14:paraId="63B3B859" w14:textId="77777777" w:rsidR="00EE5734" w:rsidRDefault="00EE5734" w:rsidP="00EE5734">
                <w:pPr>
                  <w:pStyle w:val="Encabezado"/>
                  <w:rPr>
                    <w:rFonts w:ascii="Arial" w:hAnsi="Arial"/>
                    <w:sz w:val="22"/>
                  </w:rPr>
                </w:pPr>
              </w:p>
            </w:tc>
          </w:tr>
        </w:tbl>
        <w:p w14:paraId="1908AADC" w14:textId="77777777" w:rsidR="00EE5734" w:rsidRPr="00F8713E" w:rsidRDefault="00EE5734" w:rsidP="00EE5734">
          <w:pPr>
            <w:spacing w:before="200" w:after="40"/>
            <w:ind w:left="74"/>
            <w:rPr>
              <w:rFonts w:ascii="Gill Sans MT" w:hAnsi="Gill Sans MT"/>
              <w:sz w:val="2"/>
              <w:szCs w:val="2"/>
            </w:rPr>
          </w:pPr>
        </w:p>
      </w:tc>
    </w:tr>
    <w:tr w:rsidR="00EE5734" w:rsidRPr="00BD4E07" w14:paraId="009E0EF4" w14:textId="77777777" w:rsidTr="008C039A">
      <w:trPr>
        <w:trHeight w:val="50"/>
      </w:trPr>
      <w:tc>
        <w:tcPr>
          <w:tcW w:w="8647" w:type="dxa"/>
          <w:vMerge/>
        </w:tcPr>
        <w:p w14:paraId="29C5CCCB" w14:textId="77777777" w:rsidR="00EE5734" w:rsidRPr="00BD4E07" w:rsidRDefault="00EE5734" w:rsidP="00EE5734">
          <w:pPr>
            <w:spacing w:line="2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25" w:type="dxa"/>
          <w:noWrap/>
          <w:tcMar>
            <w:left w:w="0" w:type="dxa"/>
            <w:right w:w="0" w:type="dxa"/>
          </w:tcMar>
          <w:tcFitText/>
        </w:tcPr>
        <w:p w14:paraId="244E4D82" w14:textId="77777777" w:rsidR="00EE5734" w:rsidRPr="00FA0ACB" w:rsidRDefault="00EE5734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  <w:tc>
        <w:tcPr>
          <w:tcW w:w="1985" w:type="dxa"/>
          <w:tcBorders>
            <w:bottom w:val="single" w:sz="2" w:space="0" w:color="auto"/>
          </w:tcBorders>
        </w:tcPr>
        <w:p w14:paraId="6B002BD2" w14:textId="77777777" w:rsidR="00EE5734" w:rsidRPr="00FA0ACB" w:rsidRDefault="00EE5734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</w:tr>
    <w:tr w:rsidR="00EE5734" w:rsidRPr="00BD4E07" w14:paraId="16C2DF4E" w14:textId="77777777" w:rsidTr="008C039A">
      <w:trPr>
        <w:trHeight w:val="129"/>
      </w:trPr>
      <w:tc>
        <w:tcPr>
          <w:tcW w:w="8647" w:type="dxa"/>
          <w:vMerge/>
        </w:tcPr>
        <w:p w14:paraId="4AB05D43" w14:textId="77777777" w:rsidR="00EE5734" w:rsidRPr="00BD4E07" w:rsidRDefault="00EE5734" w:rsidP="00EE5734">
          <w:pPr>
            <w:spacing w:line="14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p w14:paraId="6AF6BD23" w14:textId="77777777" w:rsidR="00EE5734" w:rsidRPr="005A0278" w:rsidRDefault="00EE5734" w:rsidP="00EE5734">
          <w:pPr>
            <w:pStyle w:val="Sangradetextonormal"/>
            <w:tabs>
              <w:tab w:val="clear" w:pos="2268"/>
            </w:tabs>
            <w:spacing w:before="20" w:after="60"/>
            <w:ind w:left="317"/>
            <w:rPr>
              <w:sz w:val="9"/>
              <w:szCs w:val="9"/>
            </w:rPr>
          </w:pPr>
        </w:p>
      </w:tc>
    </w:tr>
  </w:tbl>
  <w:p w14:paraId="4CFD62EA" w14:textId="77777777" w:rsidR="006106B2" w:rsidRPr="008C3C95" w:rsidRDefault="006106B2" w:rsidP="00CC3636">
    <w:pPr>
      <w:rPr>
        <w:rFonts w:ascii="Gill Sans MT" w:hAnsi="Gill Sans MT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1917"/>
      <w:gridCol w:w="1485"/>
      <w:gridCol w:w="5245"/>
      <w:gridCol w:w="1912"/>
    </w:tblGrid>
    <w:tr w:rsidR="006106B2" w:rsidRPr="00BD4E07" w14:paraId="1ED54625" w14:textId="77777777" w:rsidTr="00A12113">
      <w:tc>
        <w:tcPr>
          <w:tcW w:w="709" w:type="dxa"/>
          <w:tcBorders>
            <w:right w:val="single" w:sz="2" w:space="0" w:color="auto"/>
          </w:tcBorders>
        </w:tcPr>
        <w:p w14:paraId="07754D0A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A1923F1" w14:textId="77777777" w:rsidR="006106B2" w:rsidRPr="005B0CE7" w:rsidRDefault="006106B2" w:rsidP="005B0CE7">
          <w:pPr>
            <w:spacing w:before="20" w:line="140" w:lineRule="atLeast"/>
            <w:ind w:left="-108"/>
            <w:rPr>
              <w:rFonts w:ascii="Gill Sans MT" w:hAnsi="Gill Sans MT"/>
              <w:spacing w:val="-6"/>
              <w:sz w:val="14"/>
              <w:szCs w:val="14"/>
            </w:rPr>
          </w:pPr>
          <w:r w:rsidRPr="005B0CE7">
            <w:rPr>
              <w:rFonts w:ascii="Gill Sans MT" w:hAnsi="Gill Sans MT"/>
              <w:spacing w:val="-6"/>
              <w:sz w:val="14"/>
              <w:szCs w:val="14"/>
            </w:rPr>
            <w:t>CORREO ELECTRÓNICO:</w:t>
          </w:r>
        </w:p>
      </w:tc>
      <w:tc>
        <w:tcPr>
          <w:tcW w:w="1485" w:type="dxa"/>
          <w:tcBorders>
            <w:left w:val="single" w:sz="2" w:space="0" w:color="auto"/>
          </w:tcBorders>
        </w:tcPr>
        <w:p w14:paraId="7184ADF0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5245" w:type="dxa"/>
          <w:vMerge w:val="restart"/>
          <w:tcBorders>
            <w:right w:val="single" w:sz="2" w:space="0" w:color="auto"/>
          </w:tcBorders>
        </w:tcPr>
        <w:p w14:paraId="0A11C4C8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 w:val="restart"/>
          <w:tcBorders>
            <w:left w:val="single" w:sz="2" w:space="0" w:color="auto"/>
          </w:tcBorders>
        </w:tcPr>
        <w:p w14:paraId="66B6D20B" w14:textId="77777777" w:rsidR="005A0278" w:rsidRPr="005A0278" w:rsidRDefault="005A0278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ALCALÁ, 9.</w:t>
          </w:r>
        </w:p>
        <w:p w14:paraId="0EA4E257" w14:textId="77777777" w:rsidR="005A0278" w:rsidRPr="005A0278" w:rsidRDefault="005A0278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28071 MADRID</w:t>
          </w:r>
        </w:p>
        <w:p w14:paraId="668BDE1F" w14:textId="77777777" w:rsidR="006106B2" w:rsidRPr="005A0278" w:rsidRDefault="005A0278" w:rsidP="0042772E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TEL:  91 5</w:t>
          </w:r>
          <w:r w:rsidR="00F63F89">
            <w:rPr>
              <w:rFonts w:ascii="Gill Sans MT" w:hAnsi="Gill Sans MT"/>
              <w:sz w:val="14"/>
              <w:szCs w:val="14"/>
            </w:rPr>
            <w:t xml:space="preserve">95 </w:t>
          </w:r>
          <w:r w:rsidR="0042772E">
            <w:rPr>
              <w:rFonts w:ascii="Gill Sans MT" w:hAnsi="Gill Sans MT"/>
              <w:sz w:val="14"/>
              <w:szCs w:val="14"/>
            </w:rPr>
            <w:t>8</w:t>
          </w:r>
          <w:r w:rsidR="001F3464">
            <w:rPr>
              <w:rFonts w:ascii="Gill Sans MT" w:hAnsi="Gill Sans MT"/>
              <w:sz w:val="14"/>
              <w:szCs w:val="14"/>
            </w:rPr>
            <w:t>141</w:t>
          </w:r>
        </w:p>
      </w:tc>
    </w:tr>
    <w:tr w:rsidR="006106B2" w:rsidRPr="00BD4E07" w14:paraId="56507BBF" w14:textId="77777777" w:rsidTr="00A12113">
      <w:tc>
        <w:tcPr>
          <w:tcW w:w="709" w:type="dxa"/>
        </w:tcPr>
        <w:p w14:paraId="76F0CF15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402" w:type="dxa"/>
          <w:gridSpan w:val="2"/>
          <w:vAlign w:val="center"/>
        </w:tcPr>
        <w:p w14:paraId="0F454A13" w14:textId="77777777" w:rsidR="006106B2" w:rsidRPr="005A0278" w:rsidRDefault="0042772E" w:rsidP="0042772E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mobiliario.centralizado</w:t>
          </w:r>
          <w:r w:rsidR="00F63F89" w:rsidRPr="00F63F89">
            <w:rPr>
              <w:rFonts w:ascii="Gill Sans MT" w:hAnsi="Gill Sans MT"/>
              <w:sz w:val="14"/>
              <w:szCs w:val="14"/>
            </w:rPr>
            <w:t>@hacienda.gob.es</w:t>
          </w:r>
        </w:p>
      </w:tc>
      <w:tc>
        <w:tcPr>
          <w:tcW w:w="5245" w:type="dxa"/>
          <w:vMerge/>
          <w:tcBorders>
            <w:right w:val="single" w:sz="2" w:space="0" w:color="auto"/>
          </w:tcBorders>
          <w:vAlign w:val="center"/>
        </w:tcPr>
        <w:p w14:paraId="70376EAD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/>
          <w:tcBorders>
            <w:left w:val="single" w:sz="2" w:space="0" w:color="auto"/>
          </w:tcBorders>
        </w:tcPr>
        <w:p w14:paraId="199DD065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</w:tr>
  </w:tbl>
  <w:p w14:paraId="68A82C0C" w14:textId="77777777" w:rsidR="006106B2" w:rsidRPr="00003752" w:rsidRDefault="006106B2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6C18" w14:textId="77777777" w:rsidR="00393144" w:rsidRDefault="00393144">
      <w:r>
        <w:separator/>
      </w:r>
    </w:p>
  </w:footnote>
  <w:footnote w:type="continuationSeparator" w:id="0">
    <w:p w14:paraId="2FA2A774" w14:textId="77777777" w:rsidR="00393144" w:rsidRDefault="0039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B4ED" w14:textId="77777777" w:rsidR="00885DDC" w:rsidRDefault="0088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0" w:type="dxa"/>
      <w:tblInd w:w="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31"/>
      <w:gridCol w:w="1809"/>
    </w:tblGrid>
    <w:tr w:rsidR="006106B2" w14:paraId="1B4C9E39" w14:textId="77777777" w:rsidTr="00FF281C">
      <w:trPr>
        <w:cantSplit/>
        <w:trHeight w:val="1290"/>
      </w:trPr>
      <w:tc>
        <w:tcPr>
          <w:tcW w:w="9531" w:type="dxa"/>
          <w:shd w:val="clear" w:color="auto" w:fill="auto"/>
        </w:tcPr>
        <w:p w14:paraId="6BABC5AF" w14:textId="77777777" w:rsidR="006106B2" w:rsidRPr="005D549B" w:rsidRDefault="006106B2" w:rsidP="007A4C8B">
          <w:pPr>
            <w:ind w:left="-70"/>
            <w:rPr>
              <w:rFonts w:ascii="Gill Sans MT" w:hAnsi="Gill Sans MT"/>
              <w:sz w:val="4"/>
              <w:szCs w:val="4"/>
            </w:rPr>
          </w:pPr>
        </w:p>
      </w:tc>
      <w:tc>
        <w:tcPr>
          <w:tcW w:w="1809" w:type="dxa"/>
          <w:shd w:val="clear" w:color="auto" w:fill="auto"/>
        </w:tcPr>
        <w:p w14:paraId="37CBAA2F" w14:textId="77777777" w:rsidR="006106B2" w:rsidRPr="005D549B" w:rsidRDefault="00FF281C" w:rsidP="00A12113">
          <w:pPr>
            <w:spacing w:before="120"/>
            <w:rPr>
              <w:rFonts w:ascii="Gill Sans MT" w:hAnsi="Gill Sans MT"/>
              <w:sz w:val="4"/>
              <w:szCs w:val="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E54F13" wp14:editId="201763DF">
                    <wp:simplePos x="0" y="0"/>
                    <wp:positionH relativeFrom="column">
                      <wp:posOffset>1342</wp:posOffset>
                    </wp:positionH>
                    <wp:positionV relativeFrom="paragraph">
                      <wp:posOffset>713689</wp:posOffset>
                    </wp:positionV>
                    <wp:extent cx="1107321" cy="1334"/>
                    <wp:effectExtent l="0" t="0" r="36195" b="36830"/>
                    <wp:wrapNone/>
                    <wp:docPr id="9" name="Conector rec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07321" cy="13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2E3B15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6.2pt" to="87.3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" strokecolor="black [3213]" strokeweight=".5pt">
                    <v:stroke joinstyle="miter"/>
                  </v:line>
                </w:pict>
              </mc:Fallback>
            </mc:AlternateContent>
          </w:r>
          <w:r w:rsidR="00C17BC2" w:rsidRPr="003B4F06">
            <w:rPr>
              <w:noProof/>
            </w:rPr>
            <w:drawing>
              <wp:inline distT="0" distB="0" distL="0" distR="0" wp14:anchorId="3C5F1EEE" wp14:editId="28325DCA">
                <wp:extent cx="542261" cy="63694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4" r="55257" b="5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868" cy="637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5EBFAE" w14:textId="77777777" w:rsidR="006106B2" w:rsidRPr="00A0268C" w:rsidRDefault="006106B2" w:rsidP="00A0268C">
    <w:pPr>
      <w:pStyle w:val="Encabezado"/>
      <w:spacing w:after="24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5"/>
      <w:gridCol w:w="5977"/>
      <w:gridCol w:w="3188"/>
    </w:tblGrid>
    <w:tr w:rsidR="00855145" w:rsidRPr="00A12113" w14:paraId="380F4C6F" w14:textId="77777777" w:rsidTr="00885DDC">
      <w:trPr>
        <w:cantSplit/>
        <w:trHeight w:val="360"/>
      </w:trPr>
      <w:tc>
        <w:tcPr>
          <w:tcW w:w="1595" w:type="dxa"/>
          <w:vMerge w:val="restart"/>
        </w:tcPr>
        <w:p w14:paraId="3C9453DF" w14:textId="77777777" w:rsidR="00855145" w:rsidRPr="00A12113" w:rsidRDefault="00855145" w:rsidP="004C1555">
          <w:pPr>
            <w:tabs>
              <w:tab w:val="right" w:pos="8504"/>
            </w:tabs>
            <w:spacing w:before="740" w:after="60"/>
            <w:ind w:right="-68"/>
            <w:jc w:val="center"/>
            <w:rPr>
              <w:rFonts w:ascii="Garrison Light Sans" w:hAnsi="Garrison Light Sans"/>
              <w:b/>
              <w:sz w:val="24"/>
              <w:lang w:val="es-ES_tradnl"/>
            </w:rPr>
          </w:pPr>
          <w:r w:rsidRPr="00A12113">
            <w:rPr>
              <w:rFonts w:ascii="Arial" w:hAnsi="Arial"/>
              <w:noProof/>
              <w:sz w:val="24"/>
            </w:rPr>
            <w:drawing>
              <wp:inline distT="0" distB="0" distL="0" distR="0" wp14:anchorId="2F44D33E" wp14:editId="7E68C896">
                <wp:extent cx="846455" cy="798195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</w:tcPr>
        <w:p w14:paraId="2162731F" w14:textId="77777777" w:rsidR="00855145" w:rsidRPr="00A12113" w:rsidRDefault="00855145" w:rsidP="00A12113">
          <w:pPr>
            <w:tabs>
              <w:tab w:val="left" w:pos="5387"/>
              <w:tab w:val="right" w:pos="8504"/>
            </w:tabs>
            <w:ind w:left="-70"/>
            <w:rPr>
              <w:rFonts w:ascii="Garrison Light Sans" w:hAnsi="Garrison Light Sans"/>
              <w:b/>
              <w:sz w:val="14"/>
              <w:lang w:val="es-ES_tradnl"/>
            </w:rPr>
          </w:pPr>
        </w:p>
      </w:tc>
      <w:tc>
        <w:tcPr>
          <w:tcW w:w="3188" w:type="dxa"/>
        </w:tcPr>
        <w:p w14:paraId="58E72F52" w14:textId="77777777" w:rsidR="00855145" w:rsidRPr="00A12113" w:rsidRDefault="00855145" w:rsidP="00855145">
          <w:pPr>
            <w:spacing w:before="360" w:after="240" w:line="160" w:lineRule="exact"/>
            <w:ind w:left="108" w:right="358"/>
            <w:rPr>
              <w:rFonts w:ascii="Gill Sans MT" w:hAnsi="Gill Sans MT"/>
              <w:sz w:val="14"/>
              <w:szCs w:val="14"/>
            </w:rPr>
          </w:pPr>
        </w:p>
      </w:tc>
    </w:tr>
    <w:tr w:rsidR="00855145" w:rsidRPr="00A12113" w14:paraId="038007A3" w14:textId="77777777" w:rsidTr="00885DDC">
      <w:trPr>
        <w:cantSplit/>
        <w:trHeight w:val="420"/>
      </w:trPr>
      <w:tc>
        <w:tcPr>
          <w:tcW w:w="1595" w:type="dxa"/>
          <w:vMerge/>
        </w:tcPr>
        <w:p w14:paraId="3DF40A87" w14:textId="77777777" w:rsidR="00855145" w:rsidRPr="00A12113" w:rsidRDefault="00855145" w:rsidP="00A12113">
          <w:pPr>
            <w:tabs>
              <w:tab w:val="right" w:pos="8504"/>
            </w:tabs>
            <w:spacing w:before="780" w:after="60"/>
            <w:ind w:right="-68"/>
            <w:jc w:val="center"/>
            <w:rPr>
              <w:rFonts w:ascii="Arial" w:hAnsi="Arial"/>
              <w:sz w:val="24"/>
              <w:lang w:val="es-ES_tradnl"/>
            </w:rPr>
          </w:pPr>
        </w:p>
      </w:tc>
      <w:tc>
        <w:tcPr>
          <w:tcW w:w="5977" w:type="dxa"/>
        </w:tcPr>
        <w:p w14:paraId="5644AC77" w14:textId="77777777" w:rsidR="004F0C44" w:rsidRDefault="004F0C44" w:rsidP="004F0C44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>
            <w:rPr>
              <w:rFonts w:ascii="Gill Sans MT" w:hAnsi="Gill Sans MT"/>
              <w:lang w:val="es-ES_tradnl"/>
            </w:rPr>
            <w:t>VICEPRESIDENCIA PRIMERA</w:t>
          </w:r>
        </w:p>
        <w:p w14:paraId="23993FC0" w14:textId="77777777" w:rsidR="004F0C44" w:rsidRDefault="004F0C44" w:rsidP="004F0C44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>
            <w:rPr>
              <w:rFonts w:ascii="Gill Sans MT" w:hAnsi="Gill Sans MT"/>
              <w:lang w:val="es-ES_tradnl"/>
            </w:rPr>
            <w:t>DEL GOBIERNO</w:t>
          </w:r>
        </w:p>
        <w:p w14:paraId="492F7F84" w14:textId="77777777" w:rsidR="004F0C44" w:rsidRDefault="004F0C44" w:rsidP="004F0C44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</w:p>
        <w:p w14:paraId="3E3BD1D5" w14:textId="77777777" w:rsidR="004F0C44" w:rsidRPr="00A12113" w:rsidRDefault="004F0C44" w:rsidP="004F0C44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 w:rsidRPr="00A12113">
            <w:rPr>
              <w:rFonts w:ascii="Gill Sans MT" w:hAnsi="Gill Sans MT"/>
              <w:lang w:val="es-ES_tradnl"/>
            </w:rPr>
            <w:t>MINISTERIO</w:t>
          </w:r>
        </w:p>
        <w:p w14:paraId="17ED9AEB" w14:textId="77777777" w:rsidR="00754553" w:rsidRPr="00A12113" w:rsidRDefault="004F0C44" w:rsidP="004F0C44">
          <w:pPr>
            <w:tabs>
              <w:tab w:val="left" w:pos="5387"/>
              <w:tab w:val="right" w:pos="8504"/>
            </w:tabs>
            <w:rPr>
              <w:rFonts w:ascii="Garrison Light Sans" w:hAnsi="Garrison Light Sans"/>
              <w:b/>
              <w:sz w:val="14"/>
              <w:lang w:val="es-ES_tradnl"/>
            </w:rPr>
          </w:pPr>
          <w:r w:rsidRPr="00A12113">
            <w:rPr>
              <w:rFonts w:ascii="Gill Sans MT" w:hAnsi="Gill Sans MT"/>
              <w:lang w:val="es-ES_tradnl"/>
            </w:rPr>
            <w:t>DE HACIENDA</w:t>
          </w:r>
        </w:p>
      </w:tc>
      <w:tc>
        <w:tcPr>
          <w:tcW w:w="3188" w:type="dxa"/>
          <w:shd w:val="clear" w:color="auto" w:fill="D9D9D9"/>
        </w:tcPr>
        <w:p w14:paraId="115CE83D" w14:textId="77777777" w:rsidR="00855145" w:rsidRDefault="00855145" w:rsidP="00855145">
          <w:pPr>
            <w:spacing w:before="120" w:after="120" w:line="160" w:lineRule="exact"/>
            <w:ind w:right="358"/>
            <w:rPr>
              <w:rFonts w:ascii="Gill Sans MT" w:hAnsi="Gill Sans MT"/>
              <w:sz w:val="14"/>
              <w:szCs w:val="14"/>
            </w:rPr>
          </w:pPr>
          <w:r w:rsidRPr="00A12113">
            <w:rPr>
              <w:rFonts w:ascii="Gill Sans MT" w:hAnsi="Gill Sans MT"/>
              <w:sz w:val="14"/>
              <w:szCs w:val="14"/>
            </w:rPr>
            <w:t>SUBSECRETARIA</w:t>
          </w:r>
        </w:p>
        <w:p w14:paraId="34462ED9" w14:textId="77777777" w:rsidR="00855145" w:rsidRPr="00A12113" w:rsidRDefault="00855145" w:rsidP="00855145">
          <w:pPr>
            <w:spacing w:before="120" w:after="120" w:line="160" w:lineRule="exact"/>
            <w:ind w:right="358"/>
            <w:rPr>
              <w:rFonts w:ascii="Gill Sans MT" w:hAnsi="Gill Sans MT"/>
              <w:sz w:val="14"/>
              <w:szCs w:val="14"/>
            </w:rPr>
          </w:pPr>
          <w:r w:rsidRPr="00A12113">
            <w:rPr>
              <w:rFonts w:ascii="Gill Sans MT" w:hAnsi="Gill Sans MT"/>
              <w:spacing w:val="-2"/>
              <w:sz w:val="14"/>
              <w:szCs w:val="14"/>
            </w:rPr>
            <w:t>DIRECCIÓN GENERAL DE RACIONALIZACIÓN Y CENTRALIZACIÓN DE LA CONTRATACIÓN</w:t>
          </w:r>
        </w:p>
      </w:tc>
    </w:tr>
    <w:tr w:rsidR="00855145" w:rsidRPr="00A12113" w14:paraId="51BA17C0" w14:textId="77777777" w:rsidTr="00885DDC">
      <w:trPr>
        <w:cantSplit/>
        <w:trHeight w:val="803"/>
      </w:trPr>
      <w:tc>
        <w:tcPr>
          <w:tcW w:w="1595" w:type="dxa"/>
          <w:vMerge/>
        </w:tcPr>
        <w:p w14:paraId="15EF05F3" w14:textId="77777777" w:rsidR="00855145" w:rsidRPr="00A12113" w:rsidRDefault="00855145" w:rsidP="00A12113">
          <w:pPr>
            <w:tabs>
              <w:tab w:val="right" w:pos="8504"/>
            </w:tabs>
            <w:spacing w:before="120" w:after="60"/>
            <w:ind w:right="-70"/>
            <w:rPr>
              <w:rFonts w:ascii="Garrison Light Sans" w:hAnsi="Garrison Light Sans"/>
              <w:b/>
              <w:sz w:val="24"/>
              <w:lang w:val="es-ES_tradnl"/>
            </w:rPr>
          </w:pPr>
        </w:p>
      </w:tc>
      <w:tc>
        <w:tcPr>
          <w:tcW w:w="5977" w:type="dxa"/>
        </w:tcPr>
        <w:p w14:paraId="0DC40B4E" w14:textId="77777777" w:rsidR="00855145" w:rsidRPr="00A12113" w:rsidRDefault="00855145" w:rsidP="00A12113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4"/>
              <w:lang w:val="es-ES_tradnl"/>
            </w:rPr>
          </w:pPr>
        </w:p>
      </w:tc>
      <w:tc>
        <w:tcPr>
          <w:tcW w:w="3188" w:type="dxa"/>
        </w:tcPr>
        <w:p w14:paraId="34F26283" w14:textId="77777777" w:rsidR="00855145" w:rsidRPr="00A12113" w:rsidRDefault="001F3464" w:rsidP="001F3464">
          <w:pPr>
            <w:tabs>
              <w:tab w:val="left" w:pos="2268"/>
            </w:tabs>
            <w:suppressAutoHyphens/>
            <w:spacing w:before="120" w:line="160" w:lineRule="exact"/>
            <w:ind w:right="358"/>
            <w:rPr>
              <w:rFonts w:ascii="Gill Sans MT" w:hAnsi="Gill Sans MT"/>
              <w:spacing w:val="-2"/>
              <w:sz w:val="10"/>
              <w:szCs w:val="10"/>
            </w:rPr>
          </w:pPr>
          <w:r w:rsidRPr="00855145">
            <w:rPr>
              <w:rFonts w:ascii="Gill Sans MT" w:hAnsi="Gill Sans MT"/>
              <w:spacing w:val="-2"/>
              <w:sz w:val="10"/>
              <w:szCs w:val="10"/>
            </w:rPr>
            <w:t>SUBDIRECCIÓN</w:t>
          </w:r>
          <w:r w:rsidR="00855145" w:rsidRPr="00855145">
            <w:rPr>
              <w:rFonts w:ascii="Gill Sans MT" w:hAnsi="Gill Sans MT"/>
              <w:spacing w:val="-2"/>
              <w:sz w:val="10"/>
              <w:szCs w:val="10"/>
            </w:rPr>
            <w:t xml:space="preserve"> GENERAL DE </w:t>
          </w:r>
          <w:r>
            <w:rPr>
              <w:rFonts w:ascii="Gill Sans MT" w:hAnsi="Gill Sans MT"/>
              <w:spacing w:val="-2"/>
              <w:sz w:val="10"/>
              <w:szCs w:val="10"/>
            </w:rPr>
            <w:t>CONTRATACION CENTRALIZADA DE SERVICIOS Y SUMINISTROS PARA LA GESTIÓN DE INMUEBLES.</w:t>
          </w:r>
        </w:p>
      </w:tc>
    </w:tr>
  </w:tbl>
  <w:p w14:paraId="6B2E0A9F" w14:textId="77777777" w:rsidR="006106B2" w:rsidRPr="00003752" w:rsidRDefault="006106B2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2E1"/>
    <w:multiLevelType w:val="multilevel"/>
    <w:tmpl w:val="48C6307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B3B52CA"/>
    <w:multiLevelType w:val="hybridMultilevel"/>
    <w:tmpl w:val="BC243D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7147D0"/>
    <w:multiLevelType w:val="hybridMultilevel"/>
    <w:tmpl w:val="92C8A8D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19084C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C5CAA"/>
    <w:multiLevelType w:val="hybridMultilevel"/>
    <w:tmpl w:val="7BD62B56"/>
    <w:lvl w:ilvl="0" w:tplc="E886E2C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E886E2CC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B840726"/>
    <w:multiLevelType w:val="hybridMultilevel"/>
    <w:tmpl w:val="EC32EF8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781992"/>
    <w:multiLevelType w:val="hybridMultilevel"/>
    <w:tmpl w:val="48C6307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886E2CC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8F17EB7"/>
    <w:multiLevelType w:val="hybridMultilevel"/>
    <w:tmpl w:val="26A4C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4816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704864008">
    <w:abstractNumId w:val="1"/>
  </w:num>
  <w:num w:numId="2" w16cid:durableId="1630892834">
    <w:abstractNumId w:val="7"/>
  </w:num>
  <w:num w:numId="3" w16cid:durableId="41444877">
    <w:abstractNumId w:val="5"/>
  </w:num>
  <w:num w:numId="4" w16cid:durableId="807934306">
    <w:abstractNumId w:val="3"/>
  </w:num>
  <w:num w:numId="5" w16cid:durableId="2107529788">
    <w:abstractNumId w:val="6"/>
  </w:num>
  <w:num w:numId="6" w16cid:durableId="1555920920">
    <w:abstractNumId w:val="0"/>
  </w:num>
  <w:num w:numId="7" w16cid:durableId="1468621558">
    <w:abstractNumId w:val="4"/>
  </w:num>
  <w:num w:numId="8" w16cid:durableId="1296108164">
    <w:abstractNumId w:val="8"/>
  </w:num>
  <w:num w:numId="9" w16cid:durableId="110704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AA"/>
    <w:rsid w:val="00003752"/>
    <w:rsid w:val="00014257"/>
    <w:rsid w:val="00017143"/>
    <w:rsid w:val="000207E9"/>
    <w:rsid w:val="00023C64"/>
    <w:rsid w:val="0002522E"/>
    <w:rsid w:val="000479C7"/>
    <w:rsid w:val="00052AC8"/>
    <w:rsid w:val="00054338"/>
    <w:rsid w:val="0005580B"/>
    <w:rsid w:val="00056C39"/>
    <w:rsid w:val="00056D90"/>
    <w:rsid w:val="00065D97"/>
    <w:rsid w:val="00074FFB"/>
    <w:rsid w:val="000A5156"/>
    <w:rsid w:val="000B4651"/>
    <w:rsid w:val="000C0A70"/>
    <w:rsid w:val="000E28DA"/>
    <w:rsid w:val="000F6E1A"/>
    <w:rsid w:val="00104B65"/>
    <w:rsid w:val="00116A4E"/>
    <w:rsid w:val="00122E33"/>
    <w:rsid w:val="00151A5C"/>
    <w:rsid w:val="00153D8A"/>
    <w:rsid w:val="00174D0E"/>
    <w:rsid w:val="00182B3F"/>
    <w:rsid w:val="001B61BF"/>
    <w:rsid w:val="001E0C6D"/>
    <w:rsid w:val="001F31A3"/>
    <w:rsid w:val="001F3464"/>
    <w:rsid w:val="001F55C9"/>
    <w:rsid w:val="00223147"/>
    <w:rsid w:val="0023561E"/>
    <w:rsid w:val="00241512"/>
    <w:rsid w:val="00264771"/>
    <w:rsid w:val="00292B52"/>
    <w:rsid w:val="002940D4"/>
    <w:rsid w:val="00297F37"/>
    <w:rsid w:val="002A0831"/>
    <w:rsid w:val="002A675F"/>
    <w:rsid w:val="002B0990"/>
    <w:rsid w:val="002B731C"/>
    <w:rsid w:val="002C7B00"/>
    <w:rsid w:val="002F7E1D"/>
    <w:rsid w:val="0032012F"/>
    <w:rsid w:val="0033096B"/>
    <w:rsid w:val="00341121"/>
    <w:rsid w:val="00342549"/>
    <w:rsid w:val="003505C2"/>
    <w:rsid w:val="0035424F"/>
    <w:rsid w:val="00355502"/>
    <w:rsid w:val="00382789"/>
    <w:rsid w:val="00393144"/>
    <w:rsid w:val="00395260"/>
    <w:rsid w:val="00397BDD"/>
    <w:rsid w:val="003A4924"/>
    <w:rsid w:val="003E0E46"/>
    <w:rsid w:val="003E6CB9"/>
    <w:rsid w:val="003E7859"/>
    <w:rsid w:val="003F797C"/>
    <w:rsid w:val="00412057"/>
    <w:rsid w:val="00422B50"/>
    <w:rsid w:val="00423D9F"/>
    <w:rsid w:val="0042772E"/>
    <w:rsid w:val="004401DA"/>
    <w:rsid w:val="00453615"/>
    <w:rsid w:val="00453A24"/>
    <w:rsid w:val="004625A1"/>
    <w:rsid w:val="00470B8C"/>
    <w:rsid w:val="004739B6"/>
    <w:rsid w:val="00481B34"/>
    <w:rsid w:val="004B2744"/>
    <w:rsid w:val="004C1555"/>
    <w:rsid w:val="004C5545"/>
    <w:rsid w:val="004D5EEE"/>
    <w:rsid w:val="004E28F4"/>
    <w:rsid w:val="004E3CDE"/>
    <w:rsid w:val="004F0C44"/>
    <w:rsid w:val="0051301D"/>
    <w:rsid w:val="0051729E"/>
    <w:rsid w:val="00574D77"/>
    <w:rsid w:val="005806BD"/>
    <w:rsid w:val="005918CC"/>
    <w:rsid w:val="005A0278"/>
    <w:rsid w:val="005B0CE7"/>
    <w:rsid w:val="005B181B"/>
    <w:rsid w:val="005C145E"/>
    <w:rsid w:val="005C4B94"/>
    <w:rsid w:val="005D549B"/>
    <w:rsid w:val="005E3408"/>
    <w:rsid w:val="005F06DC"/>
    <w:rsid w:val="006040AB"/>
    <w:rsid w:val="006106B2"/>
    <w:rsid w:val="006359E0"/>
    <w:rsid w:val="00636C77"/>
    <w:rsid w:val="006400CA"/>
    <w:rsid w:val="00643B95"/>
    <w:rsid w:val="006627FF"/>
    <w:rsid w:val="006654CA"/>
    <w:rsid w:val="00674D9D"/>
    <w:rsid w:val="00675312"/>
    <w:rsid w:val="006854B2"/>
    <w:rsid w:val="00694059"/>
    <w:rsid w:val="00694A24"/>
    <w:rsid w:val="006A0F1D"/>
    <w:rsid w:val="006A5CED"/>
    <w:rsid w:val="006B03FD"/>
    <w:rsid w:val="006B75FF"/>
    <w:rsid w:val="006D70A4"/>
    <w:rsid w:val="006E3E76"/>
    <w:rsid w:val="00706688"/>
    <w:rsid w:val="007119F3"/>
    <w:rsid w:val="00721BC1"/>
    <w:rsid w:val="0073391C"/>
    <w:rsid w:val="00744576"/>
    <w:rsid w:val="00754553"/>
    <w:rsid w:val="00760E80"/>
    <w:rsid w:val="00761D61"/>
    <w:rsid w:val="00773005"/>
    <w:rsid w:val="00785142"/>
    <w:rsid w:val="007A4C8B"/>
    <w:rsid w:val="007B75BA"/>
    <w:rsid w:val="007D436C"/>
    <w:rsid w:val="007E73DA"/>
    <w:rsid w:val="0082588B"/>
    <w:rsid w:val="00843A78"/>
    <w:rsid w:val="00855145"/>
    <w:rsid w:val="00882469"/>
    <w:rsid w:val="00885DDC"/>
    <w:rsid w:val="008878E4"/>
    <w:rsid w:val="00893841"/>
    <w:rsid w:val="008A50AD"/>
    <w:rsid w:val="008B7076"/>
    <w:rsid w:val="008C1402"/>
    <w:rsid w:val="008C3C95"/>
    <w:rsid w:val="008D05B7"/>
    <w:rsid w:val="00902F1B"/>
    <w:rsid w:val="00914EFC"/>
    <w:rsid w:val="009169B1"/>
    <w:rsid w:val="009228D2"/>
    <w:rsid w:val="00925209"/>
    <w:rsid w:val="00935771"/>
    <w:rsid w:val="00946C9F"/>
    <w:rsid w:val="009545A4"/>
    <w:rsid w:val="009B44C8"/>
    <w:rsid w:val="009C5642"/>
    <w:rsid w:val="009E035C"/>
    <w:rsid w:val="00A0268C"/>
    <w:rsid w:val="00A12113"/>
    <w:rsid w:val="00A2401C"/>
    <w:rsid w:val="00A3689D"/>
    <w:rsid w:val="00A37F39"/>
    <w:rsid w:val="00A46365"/>
    <w:rsid w:val="00A534E9"/>
    <w:rsid w:val="00A74637"/>
    <w:rsid w:val="00A9310F"/>
    <w:rsid w:val="00AA2115"/>
    <w:rsid w:val="00AB53E9"/>
    <w:rsid w:val="00AB5ECA"/>
    <w:rsid w:val="00AD005A"/>
    <w:rsid w:val="00AD26AA"/>
    <w:rsid w:val="00AE030C"/>
    <w:rsid w:val="00AE3348"/>
    <w:rsid w:val="00AE6D69"/>
    <w:rsid w:val="00AF01EA"/>
    <w:rsid w:val="00AF3E20"/>
    <w:rsid w:val="00AF4944"/>
    <w:rsid w:val="00AF4CA3"/>
    <w:rsid w:val="00AF5E3F"/>
    <w:rsid w:val="00B02082"/>
    <w:rsid w:val="00B03A9C"/>
    <w:rsid w:val="00B3417D"/>
    <w:rsid w:val="00B520B3"/>
    <w:rsid w:val="00B74211"/>
    <w:rsid w:val="00B96CC1"/>
    <w:rsid w:val="00BB34FD"/>
    <w:rsid w:val="00BD4E07"/>
    <w:rsid w:val="00BE365A"/>
    <w:rsid w:val="00BE7498"/>
    <w:rsid w:val="00C03EF0"/>
    <w:rsid w:val="00C04C7F"/>
    <w:rsid w:val="00C05A52"/>
    <w:rsid w:val="00C10F45"/>
    <w:rsid w:val="00C14A0D"/>
    <w:rsid w:val="00C15466"/>
    <w:rsid w:val="00C17BC2"/>
    <w:rsid w:val="00C22706"/>
    <w:rsid w:val="00C322DE"/>
    <w:rsid w:val="00C32E7A"/>
    <w:rsid w:val="00C3723D"/>
    <w:rsid w:val="00C40B6C"/>
    <w:rsid w:val="00C40DD7"/>
    <w:rsid w:val="00C42681"/>
    <w:rsid w:val="00C470C9"/>
    <w:rsid w:val="00C6142A"/>
    <w:rsid w:val="00C62E7F"/>
    <w:rsid w:val="00C6338F"/>
    <w:rsid w:val="00CC3636"/>
    <w:rsid w:val="00CC503C"/>
    <w:rsid w:val="00CE58DC"/>
    <w:rsid w:val="00CF6D0F"/>
    <w:rsid w:val="00D002C1"/>
    <w:rsid w:val="00D020FB"/>
    <w:rsid w:val="00D06928"/>
    <w:rsid w:val="00D06FE8"/>
    <w:rsid w:val="00D17E57"/>
    <w:rsid w:val="00D537CC"/>
    <w:rsid w:val="00D57E68"/>
    <w:rsid w:val="00D63B1F"/>
    <w:rsid w:val="00D773E3"/>
    <w:rsid w:val="00D87858"/>
    <w:rsid w:val="00DA30C9"/>
    <w:rsid w:val="00DB177D"/>
    <w:rsid w:val="00DD67E7"/>
    <w:rsid w:val="00DE1538"/>
    <w:rsid w:val="00DE5B1A"/>
    <w:rsid w:val="00E21F3B"/>
    <w:rsid w:val="00E334D8"/>
    <w:rsid w:val="00E46812"/>
    <w:rsid w:val="00E470D5"/>
    <w:rsid w:val="00E70930"/>
    <w:rsid w:val="00E71741"/>
    <w:rsid w:val="00E72F30"/>
    <w:rsid w:val="00E73833"/>
    <w:rsid w:val="00E76146"/>
    <w:rsid w:val="00E800C2"/>
    <w:rsid w:val="00E86A36"/>
    <w:rsid w:val="00EA1499"/>
    <w:rsid w:val="00EA1D70"/>
    <w:rsid w:val="00EA75BD"/>
    <w:rsid w:val="00ED57E0"/>
    <w:rsid w:val="00EE5734"/>
    <w:rsid w:val="00F033AF"/>
    <w:rsid w:val="00F07D17"/>
    <w:rsid w:val="00F11D1F"/>
    <w:rsid w:val="00F22A5A"/>
    <w:rsid w:val="00F253B0"/>
    <w:rsid w:val="00F2708F"/>
    <w:rsid w:val="00F4492C"/>
    <w:rsid w:val="00F63F89"/>
    <w:rsid w:val="00F65501"/>
    <w:rsid w:val="00F75918"/>
    <w:rsid w:val="00F8713E"/>
    <w:rsid w:val="00F93A08"/>
    <w:rsid w:val="00FA0ACB"/>
    <w:rsid w:val="00FA5744"/>
    <w:rsid w:val="00FC094E"/>
    <w:rsid w:val="00FC2014"/>
    <w:rsid w:val="00FD43FE"/>
    <w:rsid w:val="00FD76C7"/>
    <w:rsid w:val="00FD7C52"/>
    <w:rsid w:val="00FF281C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759404"/>
  <w15:chartTrackingRefBased/>
  <w15:docId w15:val="{68CD6609-6C52-4AAE-8F61-1836EE1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68C"/>
  </w:style>
  <w:style w:type="paragraph" w:styleId="Ttulo1">
    <w:name w:val="heading 1"/>
    <w:basedOn w:val="Normal"/>
    <w:next w:val="Normal"/>
    <w:qFormat/>
    <w:rsid w:val="00A026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E73DA"/>
    <w:pPr>
      <w:keepNext/>
      <w:outlineLvl w:val="1"/>
    </w:pPr>
    <w:rPr>
      <w:rFonts w:ascii="Arial Narrow" w:hAnsi="Arial Narrow"/>
    </w:rPr>
  </w:style>
  <w:style w:type="paragraph" w:styleId="Ttulo4">
    <w:name w:val="heading 4"/>
    <w:basedOn w:val="Normal"/>
    <w:next w:val="Normal"/>
    <w:qFormat/>
    <w:rsid w:val="007E73DA"/>
    <w:pPr>
      <w:keepNext/>
      <w:tabs>
        <w:tab w:val="left" w:pos="2268"/>
      </w:tabs>
      <w:outlineLvl w:val="3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73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73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E73DA"/>
    <w:pPr>
      <w:tabs>
        <w:tab w:val="left" w:pos="2268"/>
      </w:tabs>
      <w:spacing w:before="120"/>
      <w:ind w:left="-34"/>
    </w:pPr>
    <w:rPr>
      <w:rFonts w:ascii="Gill Sans MT" w:hAnsi="Gill Sans MT"/>
      <w:sz w:val="18"/>
    </w:rPr>
  </w:style>
  <w:style w:type="paragraph" w:styleId="Textodeglobo">
    <w:name w:val="Balloon Text"/>
    <w:basedOn w:val="Normal"/>
    <w:semiHidden/>
    <w:rsid w:val="00341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C2014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453615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453615"/>
    <w:rPr>
      <w:lang w:val="es-ES_tradnl"/>
    </w:rPr>
  </w:style>
  <w:style w:type="character" w:styleId="Refdecomentario">
    <w:name w:val="annotation reference"/>
    <w:basedOn w:val="Fuentedeprrafopredeter"/>
    <w:rsid w:val="005918C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8CC"/>
  </w:style>
  <w:style w:type="character" w:customStyle="1" w:styleId="TextocomentarioCar">
    <w:name w:val="Texto comentario Car"/>
    <w:basedOn w:val="Fuentedeprrafopredeter"/>
    <w:link w:val="Textocomentario"/>
    <w:rsid w:val="005918CC"/>
  </w:style>
  <w:style w:type="paragraph" w:styleId="Asuntodelcomentario">
    <w:name w:val="annotation subject"/>
    <w:basedOn w:val="Textocomentario"/>
    <w:next w:val="Textocomentario"/>
    <w:link w:val="AsuntodelcomentarioCar"/>
    <w:rsid w:val="005918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SUBDIRECCIONES DOCEL</vt:lpstr>
    </vt:vector>
  </TitlesOfParts>
  <Company>IGAE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SUBDIRECCIONES DOCEL</dc:title>
  <dc:subject/>
  <dc:creator>López Gracia, Jose Antonio</dc:creator>
  <cp:keywords/>
  <dc:description/>
  <cp:lastModifiedBy>Arroyo Waldhaus, Carmen</cp:lastModifiedBy>
  <cp:revision>3</cp:revision>
  <cp:lastPrinted>2024-02-15T08:03:00Z</cp:lastPrinted>
  <dcterms:created xsi:type="dcterms:W3CDTF">2025-07-03T08:15:00Z</dcterms:created>
  <dcterms:modified xsi:type="dcterms:W3CDTF">2025-07-03T08:17:00Z</dcterms:modified>
</cp:coreProperties>
</file>