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C43D" w14:textId="77777777" w:rsidR="00065CA0" w:rsidRPr="00250DB6" w:rsidRDefault="00065CA0" w:rsidP="00065CA0">
      <w:pPr>
        <w:rPr>
          <w:lang w:val="es-ES"/>
        </w:rPr>
      </w:pPr>
    </w:p>
    <w:tbl>
      <w:tblPr>
        <w:tblW w:w="504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3"/>
      </w:tblGrid>
      <w:tr w:rsidR="00065CA0" w:rsidRPr="00AF2968" w14:paraId="2C36B821" w14:textId="77777777" w:rsidTr="008C75C2">
        <w:trPr>
          <w:trHeight w:val="6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12860" w14:textId="3D456CAB" w:rsidR="00043DE8" w:rsidRPr="00250DB6" w:rsidRDefault="00143F1F" w:rsidP="00043DE8">
            <w:pPr>
              <w:spacing w:before="120" w:after="120"/>
              <w:jc w:val="both"/>
              <w:rPr>
                <w:b/>
                <w:lang w:val="es-ES"/>
              </w:rPr>
            </w:pPr>
            <w:r>
              <w:rPr>
                <w:rFonts w:cstheme="minorHAnsi"/>
                <w:b/>
                <w:lang w:val="es-ES_tradnl"/>
              </w:rPr>
              <w:t>NOTA RELATIVA A LA FINALIZACIÓN DE LOS LOTES 1, 2</w:t>
            </w:r>
            <w:r w:rsidR="008D06BB">
              <w:rPr>
                <w:rFonts w:cstheme="minorHAnsi"/>
                <w:b/>
                <w:lang w:val="es-ES_tradnl"/>
              </w:rPr>
              <w:t>, 3 y 4</w:t>
            </w:r>
            <w:r>
              <w:rPr>
                <w:rFonts w:cstheme="minorHAnsi"/>
                <w:b/>
                <w:lang w:val="es-ES_tradnl"/>
              </w:rPr>
              <w:t xml:space="preserve"> DEL </w:t>
            </w:r>
            <w:r w:rsidRPr="00143F1F">
              <w:rPr>
                <w:rFonts w:cstheme="minorHAnsi"/>
                <w:b/>
                <w:lang w:val="es-ES_tradnl"/>
              </w:rPr>
              <w:t xml:space="preserve">ACUERDO MARCO 01/2019 PARA EL SUMINISTRO DE MOBILIARIO DE DESPACHO Y COMPLEMENTARIO, DE ARCHIVO, DE BIBLIOTECAS, MAMPARAS, CLÍNICO Y GERIÁTRICO, Y DE LABORATORIO </w:t>
            </w:r>
            <w:r>
              <w:rPr>
                <w:rFonts w:cstheme="minorHAnsi"/>
                <w:b/>
                <w:lang w:val="es-ES_tradnl"/>
              </w:rPr>
              <w:t xml:space="preserve">Y DETERMINACIÓN DE LA </w:t>
            </w:r>
            <w:r w:rsidR="001D0DD0" w:rsidRPr="001D0DD0">
              <w:rPr>
                <w:rFonts w:cstheme="minorHAnsi"/>
                <w:b/>
                <w:lang w:val="es-ES_tradnl"/>
              </w:rPr>
              <w:t>FECHA LÍMITE PARA INICIAR EXPEDIENTES DE CONTRATACIÓN BASADOS EN EL</w:t>
            </w:r>
            <w:r>
              <w:rPr>
                <w:rFonts w:cstheme="minorHAnsi"/>
                <w:b/>
                <w:lang w:val="es-ES_tradnl"/>
              </w:rPr>
              <w:t>RELATIVOS A ESTOS LOTES</w:t>
            </w:r>
            <w:r w:rsidR="001D0DD0" w:rsidRPr="001D0DD0">
              <w:rPr>
                <w:rFonts w:cstheme="minorHAnsi"/>
                <w:b/>
                <w:lang w:val="es-ES_tradnl"/>
              </w:rPr>
              <w:t xml:space="preserve"> </w:t>
            </w:r>
          </w:p>
        </w:tc>
      </w:tr>
    </w:tbl>
    <w:p w14:paraId="4A4287E1" w14:textId="77777777" w:rsidR="00065CA0" w:rsidRPr="00250DB6" w:rsidRDefault="00065CA0" w:rsidP="00065CA0">
      <w:pPr>
        <w:pStyle w:val="Sangradetextonormal"/>
        <w:spacing w:after="0"/>
        <w:ind w:left="0"/>
        <w:rPr>
          <w:sz w:val="20"/>
          <w:lang w:val="es-ES"/>
        </w:rPr>
      </w:pPr>
    </w:p>
    <w:p w14:paraId="75639DEC" w14:textId="77777777" w:rsidR="004F1B13" w:rsidRDefault="004F1B13" w:rsidP="00065CA0">
      <w:pPr>
        <w:jc w:val="center"/>
        <w:rPr>
          <w:lang w:val="es-ES"/>
        </w:rPr>
      </w:pPr>
    </w:p>
    <w:p w14:paraId="66DB61B7" w14:textId="77777777" w:rsidR="0005762C" w:rsidRPr="002D2774" w:rsidRDefault="0005762C" w:rsidP="0005762C">
      <w:pPr>
        <w:spacing w:after="200" w:line="276" w:lineRule="auto"/>
        <w:jc w:val="both"/>
        <w:rPr>
          <w:rFonts w:ascii="Calibri" w:eastAsia="Calibri" w:hAnsi="Calibri"/>
          <w:lang w:val="es-ES"/>
        </w:rPr>
      </w:pPr>
      <w:r w:rsidRPr="002D2774">
        <w:rPr>
          <w:rFonts w:ascii="Calibri" w:eastAsia="Calibri" w:hAnsi="Calibri"/>
          <w:lang w:val="es-ES"/>
        </w:rPr>
        <w:t xml:space="preserve">La Orden Ministerial EHA/1049/2008, de 10 de abril, de declaración de bienes y servicios de contratación centralizada, declara </w:t>
      </w:r>
      <w:r>
        <w:rPr>
          <w:rFonts w:ascii="Calibri" w:eastAsia="Calibri" w:hAnsi="Calibri"/>
          <w:lang w:val="es-ES"/>
        </w:rPr>
        <w:t xml:space="preserve">de </w:t>
      </w:r>
      <w:r w:rsidRPr="002D2774">
        <w:rPr>
          <w:rFonts w:ascii="Calibri" w:eastAsia="Calibri" w:hAnsi="Calibri"/>
          <w:lang w:val="es-ES"/>
        </w:rPr>
        <w:t>contratación centralizada, en el ámbito establecido en el</w:t>
      </w:r>
      <w:r w:rsidRPr="002D2774">
        <w:t xml:space="preserve"> </w:t>
      </w:r>
      <w:r w:rsidRPr="002D2774">
        <w:rPr>
          <w:rFonts w:ascii="Calibri" w:eastAsia="Calibri" w:hAnsi="Calibri"/>
          <w:lang w:val="es-ES"/>
        </w:rPr>
        <w:t>art. 206.1 del texto refundido de la Ley de Contratos del Sector Público, aprobado por el Real Decreto Legislativo 3/2011, de 14 de noviembre</w:t>
      </w:r>
      <w:r>
        <w:rPr>
          <w:rFonts w:ascii="Calibri" w:eastAsia="Calibri" w:hAnsi="Calibri"/>
          <w:lang w:val="es-ES"/>
        </w:rPr>
        <w:t>,</w:t>
      </w:r>
      <w:r w:rsidRPr="002D2774">
        <w:rPr>
          <w:rFonts w:ascii="Calibri" w:eastAsia="Calibri" w:hAnsi="Calibri"/>
          <w:lang w:val="es-ES"/>
        </w:rPr>
        <w:t xml:space="preserve"> el suministro de mobiliario de despacho y complementario, de archivo, de bibliotecas, mamparas, clínico, de laboratorio y otros de uso común de la Administración. </w:t>
      </w:r>
    </w:p>
    <w:p w14:paraId="09409AB3" w14:textId="0ACE6343" w:rsidR="0005762C" w:rsidRPr="002D2774" w:rsidRDefault="001D0DD0" w:rsidP="0005762C">
      <w:pPr>
        <w:spacing w:after="200" w:line="276" w:lineRule="auto"/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 xml:space="preserve">Desde el 20 de julio de 2021 fueron entrando en vigor los distintos lotes del </w:t>
      </w:r>
      <w:r w:rsidR="0005762C" w:rsidRPr="002D2774">
        <w:rPr>
          <w:rFonts w:ascii="Calibri" w:eastAsia="Calibri" w:hAnsi="Calibri"/>
          <w:lang w:val="es-ES"/>
        </w:rPr>
        <w:t>Acuerdo Marco 1/201</w:t>
      </w:r>
      <w:r>
        <w:rPr>
          <w:rFonts w:ascii="Calibri" w:eastAsia="Calibri" w:hAnsi="Calibri"/>
          <w:lang w:val="es-ES"/>
        </w:rPr>
        <w:t>9</w:t>
      </w:r>
      <w:r w:rsidR="0005762C" w:rsidRPr="002D2774">
        <w:rPr>
          <w:rFonts w:ascii="Calibri" w:eastAsia="Calibri" w:hAnsi="Calibri"/>
          <w:lang w:val="es-ES"/>
        </w:rPr>
        <w:t xml:space="preserve"> </w:t>
      </w:r>
      <w:r>
        <w:rPr>
          <w:rFonts w:ascii="Calibri" w:eastAsia="Calibri" w:hAnsi="Calibri"/>
          <w:lang w:val="es-ES"/>
        </w:rPr>
        <w:t xml:space="preserve">para el </w:t>
      </w:r>
      <w:r w:rsidR="0005762C" w:rsidRPr="002D2774">
        <w:rPr>
          <w:rFonts w:ascii="Calibri" w:eastAsia="Calibri" w:hAnsi="Calibri"/>
          <w:lang w:val="es-ES"/>
        </w:rPr>
        <w:t>Suministro de mobiliario de despacho</w:t>
      </w:r>
      <w:r>
        <w:rPr>
          <w:rFonts w:ascii="Calibri" w:eastAsia="Calibri" w:hAnsi="Calibri"/>
          <w:lang w:val="es-ES"/>
        </w:rPr>
        <w:t xml:space="preserve"> y </w:t>
      </w:r>
      <w:r w:rsidR="0068475F">
        <w:rPr>
          <w:rFonts w:ascii="Calibri" w:eastAsia="Calibri" w:hAnsi="Calibri"/>
          <w:lang w:val="es-ES"/>
        </w:rPr>
        <w:t>complementario</w:t>
      </w:r>
      <w:r w:rsidR="0005762C" w:rsidRPr="002D2774">
        <w:rPr>
          <w:rFonts w:ascii="Calibri" w:eastAsia="Calibri" w:hAnsi="Calibri"/>
          <w:lang w:val="es-ES"/>
        </w:rPr>
        <w:t xml:space="preserve">, de archivo, de bibliotecas, mamparas, clínico y geriátrico y de laboratorio, al que resulta de aplicación lo dispuesto en </w:t>
      </w:r>
      <w:r w:rsidR="0068475F">
        <w:rPr>
          <w:rFonts w:ascii="Calibri" w:eastAsia="Calibri" w:hAnsi="Calibri"/>
          <w:lang w:val="es-ES"/>
        </w:rPr>
        <w:t>la Ley 9/2017, de 8 de noviembre, de Contratos del Sector Público (LCSP)</w:t>
      </w:r>
      <w:r w:rsidR="0005762C" w:rsidRPr="002D2774">
        <w:rPr>
          <w:rFonts w:ascii="Calibri" w:eastAsia="Calibri" w:hAnsi="Calibri"/>
          <w:lang w:val="es-ES"/>
        </w:rPr>
        <w:t>, y cuyos contratos basados deben ser objeto de una segunda licitación al no tener todos sus términos definidos</w:t>
      </w:r>
      <w:r w:rsidR="00C7641C">
        <w:rPr>
          <w:rFonts w:ascii="Calibri" w:eastAsia="Calibri" w:hAnsi="Calibri"/>
          <w:lang w:val="es-ES"/>
        </w:rPr>
        <w:t xml:space="preserve">, a excepción de los supuestos de compra directa previstos en la cláusula 27, apartados </w:t>
      </w:r>
      <w:r w:rsidR="00C7641C" w:rsidRPr="00C7641C">
        <w:rPr>
          <w:rFonts w:ascii="Calibri" w:eastAsia="Calibri" w:hAnsi="Calibri"/>
          <w:lang w:val="es-ES"/>
        </w:rPr>
        <w:t xml:space="preserve">2. 2 y 2.3 </w:t>
      </w:r>
      <w:r w:rsidR="00C7641C">
        <w:rPr>
          <w:rFonts w:ascii="Calibri" w:eastAsia="Calibri" w:hAnsi="Calibri"/>
          <w:lang w:val="es-ES"/>
        </w:rPr>
        <w:t>del PCAP.</w:t>
      </w:r>
    </w:p>
    <w:p w14:paraId="0E7B8A1D" w14:textId="08AE3DFA" w:rsidR="0005762C" w:rsidRDefault="001D3751" w:rsidP="0005762C">
      <w:pPr>
        <w:spacing w:after="200" w:line="276" w:lineRule="auto"/>
        <w:jc w:val="both"/>
        <w:rPr>
          <w:rFonts w:ascii="Calibri" w:eastAsia="Calibri" w:hAnsi="Calibri"/>
          <w:lang w:val="es-ES"/>
        </w:rPr>
      </w:pPr>
      <w:r w:rsidRPr="001D3751">
        <w:rPr>
          <w:rFonts w:ascii="Calibri" w:eastAsia="Calibri" w:hAnsi="Calibri"/>
          <w:lang w:val="es-ES"/>
        </w:rPr>
        <w:t>La vigencia de los</w:t>
      </w:r>
      <w:r w:rsidR="00143F1F">
        <w:rPr>
          <w:rFonts w:ascii="Calibri" w:eastAsia="Calibri" w:hAnsi="Calibri"/>
          <w:lang w:val="es-ES"/>
        </w:rPr>
        <w:t xml:space="preserve"> lotes 1, 2</w:t>
      </w:r>
      <w:r w:rsidR="00E73522">
        <w:rPr>
          <w:rFonts w:ascii="Calibri" w:eastAsia="Calibri" w:hAnsi="Calibri"/>
          <w:lang w:val="es-ES"/>
        </w:rPr>
        <w:t>,</w:t>
      </w:r>
      <w:r w:rsidR="00143F1F">
        <w:rPr>
          <w:rFonts w:ascii="Calibri" w:eastAsia="Calibri" w:hAnsi="Calibri"/>
          <w:lang w:val="es-ES"/>
        </w:rPr>
        <w:t xml:space="preserve"> 3 y 4 se extiende hasta el 31 de julio de 2025.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811"/>
        <w:gridCol w:w="2409"/>
      </w:tblGrid>
      <w:tr w:rsidR="002E3F42" w:rsidRPr="00A039B2" w14:paraId="17EA3397" w14:textId="77777777" w:rsidTr="002E3F42">
        <w:trPr>
          <w:trHeight w:val="397"/>
          <w:tblHeader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52F3" w14:textId="77777777" w:rsidR="002E3F42" w:rsidRPr="00A039B2" w:rsidRDefault="002E3F42">
            <w:pPr>
              <w:keepNext/>
              <w:jc w:val="center"/>
              <w:rPr>
                <w:b/>
                <w:bCs/>
                <w:sz w:val="20"/>
                <w:szCs w:val="20"/>
                <w:lang w:val="es-ES_tradnl" w:eastAsia="es-ES"/>
              </w:rPr>
            </w:pPr>
            <w:r w:rsidRPr="00A039B2">
              <w:rPr>
                <w:b/>
                <w:bCs/>
                <w:color w:val="000000"/>
                <w:sz w:val="20"/>
                <w:szCs w:val="20"/>
                <w:lang w:val="es-ES_tradnl" w:eastAsia="es-ES"/>
              </w:rPr>
              <w:t>Lote</w:t>
            </w:r>
          </w:p>
        </w:tc>
        <w:tc>
          <w:tcPr>
            <w:tcW w:w="3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1C80" w14:textId="77777777" w:rsidR="002E3F42" w:rsidRPr="00A039B2" w:rsidRDefault="002E3F42">
            <w:pPr>
              <w:keepNext/>
              <w:jc w:val="center"/>
              <w:rPr>
                <w:b/>
                <w:bCs/>
                <w:sz w:val="20"/>
                <w:szCs w:val="20"/>
                <w:lang w:val="es-ES_tradnl" w:eastAsia="es-ES"/>
              </w:rPr>
            </w:pPr>
            <w:r w:rsidRPr="00A039B2">
              <w:rPr>
                <w:b/>
                <w:bCs/>
                <w:color w:val="000000"/>
                <w:sz w:val="20"/>
                <w:szCs w:val="20"/>
                <w:lang w:val="es-ES_tradnl" w:eastAsia="es-ES"/>
              </w:rPr>
              <w:t>Denominación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4DBD" w14:textId="10880D65" w:rsidR="002E3F42" w:rsidRPr="00A039B2" w:rsidRDefault="002E3F42">
            <w:pPr>
              <w:keepNext/>
              <w:jc w:val="center"/>
              <w:rPr>
                <w:b/>
                <w:bCs/>
                <w:sz w:val="20"/>
                <w:szCs w:val="20"/>
                <w:lang w:val="es-ES_tradnl" w:eastAsia="es-ES"/>
              </w:rPr>
            </w:pPr>
            <w:r w:rsidRPr="00A039B2">
              <w:rPr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Fecha Fin </w:t>
            </w:r>
          </w:p>
        </w:tc>
      </w:tr>
      <w:tr w:rsidR="002E3F42" w:rsidRPr="00A039B2" w14:paraId="29B19592" w14:textId="77777777" w:rsidTr="002E3F42">
        <w:trPr>
          <w:trHeight w:val="284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D8DD" w14:textId="77777777" w:rsidR="002E3F42" w:rsidRPr="00A039B2" w:rsidRDefault="002E3F42">
            <w:pPr>
              <w:jc w:val="center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41D1" w14:textId="77777777" w:rsidR="002E3F42" w:rsidRPr="00A039B2" w:rsidRDefault="002E3F42">
            <w:pPr>
              <w:jc w:val="both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rFonts w:ascii="Calibri" w:hAnsi="Calibri" w:cs="Calibri"/>
                <w:sz w:val="20"/>
                <w:szCs w:val="20"/>
                <w:lang w:val="es-ES_tradnl" w:eastAsia="es-ES"/>
              </w:rPr>
              <w:t>Despachos de dirección y mesas de estrado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DD39" w14:textId="4E7691A4" w:rsidR="002E3F42" w:rsidRPr="00A039B2" w:rsidRDefault="002E3F42">
            <w:pPr>
              <w:jc w:val="center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sz w:val="20"/>
                <w:szCs w:val="20"/>
                <w:lang w:val="es-ES_tradnl" w:eastAsia="es-ES"/>
              </w:rPr>
              <w:t xml:space="preserve">31/07/2025 </w:t>
            </w:r>
          </w:p>
        </w:tc>
      </w:tr>
      <w:tr w:rsidR="002E3F42" w:rsidRPr="00A039B2" w14:paraId="75A91BEA" w14:textId="77777777" w:rsidTr="002E3F42">
        <w:trPr>
          <w:trHeight w:val="284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CEEB" w14:textId="77777777" w:rsidR="002E3F42" w:rsidRPr="00A039B2" w:rsidRDefault="002E3F42">
            <w:pPr>
              <w:jc w:val="center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CEC9" w14:textId="77777777" w:rsidR="002E3F42" w:rsidRPr="00A039B2" w:rsidRDefault="002E3F42">
            <w:pPr>
              <w:jc w:val="both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rFonts w:ascii="Calibri" w:hAnsi="Calibri" w:cs="Calibri"/>
                <w:sz w:val="20"/>
                <w:szCs w:val="20"/>
                <w:lang w:val="es-ES_tradnl" w:eastAsia="es-ES"/>
              </w:rPr>
              <w:t>Muebles de oficina general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BE72" w14:textId="35BE1207" w:rsidR="002E3F42" w:rsidRPr="00A039B2" w:rsidRDefault="002E3F42">
            <w:pPr>
              <w:jc w:val="center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sz w:val="20"/>
                <w:szCs w:val="20"/>
                <w:lang w:val="es-ES_tradnl" w:eastAsia="es-ES"/>
              </w:rPr>
              <w:t>31/07/2025</w:t>
            </w:r>
            <w:r w:rsidRPr="00A039B2">
              <w:rPr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2E3F42" w:rsidRPr="00A039B2" w14:paraId="58596434" w14:textId="77777777" w:rsidTr="002E3F42">
        <w:trPr>
          <w:trHeight w:val="284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CDA0" w14:textId="77777777" w:rsidR="002E3F42" w:rsidRPr="00A039B2" w:rsidRDefault="002E3F42">
            <w:pPr>
              <w:jc w:val="center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696F" w14:textId="77777777" w:rsidR="002E3F42" w:rsidRPr="00A039B2" w:rsidRDefault="002E3F42">
            <w:pPr>
              <w:jc w:val="both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rFonts w:ascii="Calibri" w:hAnsi="Calibri" w:cs="Calibri"/>
                <w:sz w:val="20"/>
                <w:szCs w:val="20"/>
                <w:lang w:val="es-ES_tradnl" w:eastAsia="es-ES"/>
              </w:rPr>
              <w:t>Sillería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2C055" w14:textId="57C65B07" w:rsidR="002E3F42" w:rsidRPr="00A039B2" w:rsidRDefault="002E3F42">
            <w:pPr>
              <w:jc w:val="center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sz w:val="20"/>
                <w:szCs w:val="20"/>
                <w:lang w:val="es-ES_tradnl" w:eastAsia="es-ES"/>
              </w:rPr>
              <w:t>31/07/2025</w:t>
            </w:r>
            <w:r w:rsidRPr="00A039B2">
              <w:rPr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2E3F42" w:rsidRPr="00A039B2" w14:paraId="4F427148" w14:textId="77777777" w:rsidTr="002E3F42">
        <w:trPr>
          <w:trHeight w:val="284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0B3C" w14:textId="77777777" w:rsidR="002E3F42" w:rsidRPr="00A039B2" w:rsidRDefault="002E3F42">
            <w:pPr>
              <w:jc w:val="center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EFA9" w14:textId="77777777" w:rsidR="002E3F42" w:rsidRPr="00A039B2" w:rsidRDefault="002E3F42">
            <w:pPr>
              <w:jc w:val="both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rFonts w:ascii="Calibri" w:hAnsi="Calibri" w:cs="Calibri"/>
                <w:sz w:val="20"/>
                <w:szCs w:val="20"/>
                <w:lang w:val="es-ES_tradnl" w:eastAsia="es-ES"/>
              </w:rPr>
              <w:t>Butacas para salones de actos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11C4" w14:textId="77777777" w:rsidR="002E3F42" w:rsidRPr="00A039B2" w:rsidRDefault="002E3F42">
            <w:pPr>
              <w:jc w:val="center"/>
              <w:rPr>
                <w:sz w:val="20"/>
                <w:szCs w:val="20"/>
                <w:lang w:val="es-ES_tradnl" w:eastAsia="es-ES"/>
              </w:rPr>
            </w:pPr>
            <w:r w:rsidRPr="00A039B2">
              <w:rPr>
                <w:sz w:val="20"/>
                <w:szCs w:val="20"/>
                <w:lang w:val="es-ES_tradnl" w:eastAsia="es-ES"/>
              </w:rPr>
              <w:t>31/07/2025</w:t>
            </w:r>
          </w:p>
        </w:tc>
      </w:tr>
    </w:tbl>
    <w:p w14:paraId="209EC3B3" w14:textId="77777777" w:rsidR="00C7641C" w:rsidRDefault="00C7641C" w:rsidP="0005762C">
      <w:pPr>
        <w:spacing w:after="200" w:line="276" w:lineRule="auto"/>
        <w:jc w:val="both"/>
        <w:rPr>
          <w:rFonts w:ascii="Calibri" w:eastAsia="Calibri" w:hAnsi="Calibri"/>
          <w:lang w:val="es-ES"/>
        </w:rPr>
      </w:pPr>
    </w:p>
    <w:p w14:paraId="346E4025" w14:textId="7FF8797D" w:rsidR="0005762C" w:rsidRPr="005A3725" w:rsidRDefault="002E3F42" w:rsidP="001D3751">
      <w:pPr>
        <w:spacing w:after="200" w:line="276" w:lineRule="auto"/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E</w:t>
      </w:r>
      <w:r w:rsidR="0005762C" w:rsidRPr="002D2774">
        <w:rPr>
          <w:rFonts w:ascii="Calibri" w:eastAsia="Calibri" w:hAnsi="Calibri"/>
          <w:lang w:val="es-ES"/>
        </w:rPr>
        <w:t xml:space="preserve">l pliego de cláusulas administrativas particulares, en su </w:t>
      </w:r>
      <w:r w:rsidR="0005762C" w:rsidRPr="002D2774">
        <w:rPr>
          <w:rFonts w:ascii="Calibri" w:eastAsia="Calibri" w:hAnsi="Calibri"/>
          <w:iCs/>
          <w:lang w:val="es-ES"/>
        </w:rPr>
        <w:t xml:space="preserve">cláusula </w:t>
      </w:r>
      <w:r w:rsidR="001D3751">
        <w:rPr>
          <w:rFonts w:ascii="Calibri" w:eastAsia="Calibri" w:hAnsi="Calibri"/>
          <w:iCs/>
          <w:lang w:val="es-ES"/>
        </w:rPr>
        <w:t>27.2</w:t>
      </w:r>
      <w:r w:rsidR="0005762C" w:rsidRPr="002D2774">
        <w:rPr>
          <w:rFonts w:ascii="Calibri" w:eastAsia="Calibri" w:hAnsi="Calibri"/>
          <w:iCs/>
          <w:lang w:val="es-ES"/>
        </w:rPr>
        <w:t>‐</w:t>
      </w:r>
      <w:r w:rsidR="0005762C" w:rsidRPr="002D2774">
        <w:t xml:space="preserve"> </w:t>
      </w:r>
      <w:r w:rsidR="0005762C" w:rsidRPr="002D2774">
        <w:rPr>
          <w:rFonts w:ascii="Calibri" w:eastAsia="Calibri" w:hAnsi="Calibri"/>
          <w:iCs/>
          <w:lang w:val="es-ES"/>
        </w:rPr>
        <w:t>P</w:t>
      </w:r>
      <w:r w:rsidR="001D3751">
        <w:rPr>
          <w:rFonts w:ascii="Calibri" w:eastAsia="Calibri" w:hAnsi="Calibri"/>
          <w:iCs/>
          <w:lang w:val="es-ES"/>
        </w:rPr>
        <w:t>rocedimiento de adjudicación de los contratos basados, en relación con los contratos basados con segunda licitación (</w:t>
      </w:r>
      <w:r w:rsidR="00100074">
        <w:rPr>
          <w:rFonts w:ascii="Calibri" w:eastAsia="Calibri" w:hAnsi="Calibri"/>
          <w:iCs/>
          <w:lang w:val="es-ES"/>
        </w:rPr>
        <w:t>a</w:t>
      </w:r>
      <w:r w:rsidR="001D3751">
        <w:rPr>
          <w:rFonts w:ascii="Calibri" w:eastAsia="Calibri" w:hAnsi="Calibri"/>
          <w:iCs/>
          <w:lang w:val="es-ES"/>
        </w:rPr>
        <w:t>partado</w:t>
      </w:r>
      <w:r w:rsidR="00100074">
        <w:rPr>
          <w:rFonts w:ascii="Calibri" w:eastAsia="Calibri" w:hAnsi="Calibri"/>
          <w:iCs/>
          <w:lang w:val="es-ES"/>
        </w:rPr>
        <w:t xml:space="preserve"> </w:t>
      </w:r>
      <w:r w:rsidR="001D3751">
        <w:rPr>
          <w:rFonts w:ascii="Calibri" w:eastAsia="Calibri" w:hAnsi="Calibri"/>
          <w:iCs/>
          <w:lang w:val="es-ES"/>
        </w:rPr>
        <w:t>1</w:t>
      </w:r>
      <w:r w:rsidR="00100074">
        <w:rPr>
          <w:rFonts w:ascii="Calibri" w:eastAsia="Calibri" w:hAnsi="Calibri"/>
          <w:iCs/>
          <w:lang w:val="es-ES"/>
        </w:rPr>
        <w:t>º</w:t>
      </w:r>
      <w:r w:rsidR="001D3751">
        <w:rPr>
          <w:rFonts w:ascii="Calibri" w:eastAsia="Calibri" w:hAnsi="Calibri"/>
          <w:iCs/>
          <w:lang w:val="es-ES"/>
        </w:rPr>
        <w:t>)</w:t>
      </w:r>
      <w:r w:rsidR="0005762C" w:rsidRPr="002D2774">
        <w:rPr>
          <w:rFonts w:ascii="Calibri" w:eastAsia="Calibri" w:hAnsi="Calibri"/>
          <w:i/>
          <w:iCs/>
          <w:lang w:val="es-ES"/>
        </w:rPr>
        <w:t xml:space="preserve">, </w:t>
      </w:r>
      <w:r w:rsidR="0005762C" w:rsidRPr="002D2774">
        <w:rPr>
          <w:rFonts w:ascii="Calibri" w:eastAsia="Calibri" w:hAnsi="Calibri"/>
          <w:iCs/>
          <w:lang w:val="es-ES"/>
        </w:rPr>
        <w:t>determina que “</w:t>
      </w:r>
      <w:r w:rsidR="001D3751" w:rsidRPr="005A3725">
        <w:rPr>
          <w:rFonts w:ascii="Calibri" w:eastAsia="Calibri" w:hAnsi="Calibri"/>
          <w:i/>
          <w:lang w:val="es-ES"/>
        </w:rPr>
        <w:t xml:space="preserve">Solo podrán adjudicarse contratos basados en este acuerdo marco durante la vigencia </w:t>
      </w:r>
      <w:proofErr w:type="gramStart"/>
      <w:r w:rsidR="001D3751" w:rsidRPr="005A3725">
        <w:rPr>
          <w:rFonts w:ascii="Calibri" w:eastAsia="Calibri" w:hAnsi="Calibri"/>
          <w:i/>
          <w:lang w:val="es-ES"/>
        </w:rPr>
        <w:t>del mismo</w:t>
      </w:r>
      <w:proofErr w:type="gramEnd"/>
      <w:r w:rsidR="001D3751" w:rsidRPr="005A3725">
        <w:rPr>
          <w:rFonts w:ascii="Calibri" w:eastAsia="Calibri" w:hAnsi="Calibri"/>
          <w:i/>
          <w:lang w:val="es-ES"/>
        </w:rPr>
        <w:t>. La fecha</w:t>
      </w:r>
      <w:r w:rsidR="001D3751">
        <w:rPr>
          <w:rFonts w:ascii="Calibri" w:eastAsia="Calibri" w:hAnsi="Calibri"/>
          <w:i/>
          <w:lang w:val="es-ES"/>
        </w:rPr>
        <w:t xml:space="preserve"> </w:t>
      </w:r>
      <w:r w:rsidR="001D3751" w:rsidRPr="005A3725">
        <w:rPr>
          <w:rFonts w:ascii="Calibri" w:eastAsia="Calibri" w:hAnsi="Calibri"/>
          <w:i/>
          <w:lang w:val="es-ES"/>
        </w:rPr>
        <w:t>relevante para entender que se ha cumplido este requisito, de conformidad con lo establecido en el</w:t>
      </w:r>
      <w:r w:rsidR="001D3751">
        <w:rPr>
          <w:rFonts w:ascii="Calibri" w:eastAsia="Calibri" w:hAnsi="Calibri"/>
          <w:i/>
          <w:lang w:val="es-ES"/>
        </w:rPr>
        <w:t xml:space="preserve"> </w:t>
      </w:r>
      <w:r w:rsidR="001D3751" w:rsidRPr="005A3725">
        <w:rPr>
          <w:rFonts w:ascii="Calibri" w:eastAsia="Calibri" w:hAnsi="Calibri"/>
          <w:i/>
          <w:lang w:val="es-ES"/>
        </w:rPr>
        <w:t>artículo 219.3 de la LCSP será la fecha de envío a los adjudicatarios del acuerdo marco de las invitaciones</w:t>
      </w:r>
      <w:r w:rsidR="001D3751">
        <w:rPr>
          <w:rFonts w:ascii="Calibri" w:eastAsia="Calibri" w:hAnsi="Calibri"/>
          <w:i/>
          <w:lang w:val="es-ES"/>
        </w:rPr>
        <w:t xml:space="preserve"> </w:t>
      </w:r>
      <w:r w:rsidR="001D3751" w:rsidRPr="005A3725">
        <w:rPr>
          <w:rFonts w:ascii="Calibri" w:eastAsia="Calibri" w:hAnsi="Calibri"/>
          <w:i/>
          <w:lang w:val="es-ES"/>
        </w:rPr>
        <w:t>para participar en la licitación, siempre que las propuestas de adjudicación se reciban dentro plazo que se</w:t>
      </w:r>
      <w:r w:rsidR="001D3751">
        <w:rPr>
          <w:rFonts w:ascii="Calibri" w:eastAsia="Calibri" w:hAnsi="Calibri"/>
          <w:i/>
          <w:lang w:val="es-ES"/>
        </w:rPr>
        <w:t xml:space="preserve"> </w:t>
      </w:r>
      <w:r w:rsidR="001D3751" w:rsidRPr="005A3725">
        <w:rPr>
          <w:rFonts w:ascii="Calibri" w:eastAsia="Calibri" w:hAnsi="Calibri"/>
          <w:i/>
          <w:lang w:val="es-ES"/>
        </w:rPr>
        <w:t>establezca al efecto por la DGRCC</w:t>
      </w:r>
      <w:r w:rsidR="0005762C" w:rsidRPr="002D2774">
        <w:rPr>
          <w:rFonts w:ascii="Calibri" w:eastAsia="Calibri" w:hAnsi="Calibri"/>
          <w:iCs/>
          <w:lang w:val="es-ES"/>
        </w:rPr>
        <w:t>.”</w:t>
      </w:r>
      <w:r w:rsidR="0005762C" w:rsidRPr="002D2774">
        <w:rPr>
          <w:rFonts w:ascii="Calibri" w:eastAsia="Calibri" w:hAnsi="Calibri"/>
          <w:i/>
          <w:iCs/>
          <w:lang w:val="es-ES"/>
        </w:rPr>
        <w:t xml:space="preserve"> </w:t>
      </w:r>
      <w:r w:rsidR="001D3751" w:rsidRPr="005A3725">
        <w:rPr>
          <w:rFonts w:ascii="Calibri" w:eastAsia="Calibri" w:hAnsi="Calibri"/>
          <w:lang w:val="es-ES"/>
        </w:rPr>
        <w:t>En el resto de</w:t>
      </w:r>
      <w:r w:rsidR="001D3751">
        <w:rPr>
          <w:rFonts w:ascii="Calibri" w:eastAsia="Calibri" w:hAnsi="Calibri"/>
          <w:lang w:val="es-ES"/>
        </w:rPr>
        <w:t xml:space="preserve"> los casos, apartado</w:t>
      </w:r>
      <w:r w:rsidR="00100074">
        <w:rPr>
          <w:rFonts w:ascii="Calibri" w:eastAsia="Calibri" w:hAnsi="Calibri"/>
          <w:lang w:val="es-ES"/>
        </w:rPr>
        <w:t>s</w:t>
      </w:r>
      <w:r w:rsidR="001D3751">
        <w:rPr>
          <w:rFonts w:ascii="Calibri" w:eastAsia="Calibri" w:hAnsi="Calibri"/>
          <w:lang w:val="es-ES"/>
        </w:rPr>
        <w:t xml:space="preserve"> 2</w:t>
      </w:r>
      <w:r w:rsidR="00100074">
        <w:rPr>
          <w:rFonts w:ascii="Calibri" w:eastAsia="Calibri" w:hAnsi="Calibri"/>
          <w:lang w:val="es-ES"/>
        </w:rPr>
        <w:t>º</w:t>
      </w:r>
      <w:r w:rsidR="001D3751">
        <w:rPr>
          <w:rFonts w:ascii="Calibri" w:eastAsia="Calibri" w:hAnsi="Calibri"/>
          <w:lang w:val="es-ES"/>
        </w:rPr>
        <w:t xml:space="preserve"> y 3</w:t>
      </w:r>
      <w:r w:rsidR="00100074">
        <w:rPr>
          <w:rFonts w:ascii="Calibri" w:eastAsia="Calibri" w:hAnsi="Calibri"/>
          <w:lang w:val="es-ES"/>
        </w:rPr>
        <w:t>º</w:t>
      </w:r>
      <w:r w:rsidR="001D3751">
        <w:rPr>
          <w:rFonts w:ascii="Calibri" w:eastAsia="Calibri" w:hAnsi="Calibri"/>
          <w:lang w:val="es-ES"/>
        </w:rPr>
        <w:t xml:space="preserve"> de</w:t>
      </w:r>
      <w:r w:rsidR="00C257F5">
        <w:rPr>
          <w:rFonts w:ascii="Calibri" w:eastAsia="Calibri" w:hAnsi="Calibri"/>
          <w:lang w:val="es-ES"/>
        </w:rPr>
        <w:t xml:space="preserve"> </w:t>
      </w:r>
      <w:r w:rsidR="001D3751">
        <w:rPr>
          <w:rFonts w:ascii="Calibri" w:eastAsia="Calibri" w:hAnsi="Calibri"/>
          <w:lang w:val="es-ES"/>
        </w:rPr>
        <w:t>la cit</w:t>
      </w:r>
      <w:r w:rsidR="00C257F5">
        <w:rPr>
          <w:rFonts w:ascii="Calibri" w:eastAsia="Calibri" w:hAnsi="Calibri"/>
          <w:lang w:val="es-ES"/>
        </w:rPr>
        <w:t>a</w:t>
      </w:r>
      <w:r w:rsidR="001D3751">
        <w:rPr>
          <w:rFonts w:ascii="Calibri" w:eastAsia="Calibri" w:hAnsi="Calibri"/>
          <w:lang w:val="es-ES"/>
        </w:rPr>
        <w:t>da cláusula 27.2</w:t>
      </w:r>
      <w:r w:rsidR="00100074">
        <w:rPr>
          <w:rFonts w:ascii="Calibri" w:eastAsia="Calibri" w:hAnsi="Calibri"/>
          <w:lang w:val="es-ES"/>
        </w:rPr>
        <w:t>,</w:t>
      </w:r>
      <w:r w:rsidR="001D3751">
        <w:rPr>
          <w:rFonts w:ascii="Calibri" w:eastAsia="Calibri" w:hAnsi="Calibri"/>
          <w:lang w:val="es-ES"/>
        </w:rPr>
        <w:t xml:space="preserve"> la fecha relevante para entender que se ha cumplido el requisito establecido en el </w:t>
      </w:r>
      <w:r w:rsidR="009A29C5">
        <w:rPr>
          <w:rFonts w:ascii="Calibri" w:eastAsia="Calibri" w:hAnsi="Calibri"/>
          <w:lang w:val="es-ES"/>
        </w:rPr>
        <w:t>artículo</w:t>
      </w:r>
      <w:r w:rsidR="001D3751">
        <w:rPr>
          <w:rFonts w:ascii="Calibri" w:eastAsia="Calibri" w:hAnsi="Calibri"/>
          <w:lang w:val="es-ES"/>
        </w:rPr>
        <w:t xml:space="preserve"> 219.3 de la LCSP, en cuanto a la adjudicación de los contratos basados durante la vigencia del acuerdo marco, será la de adjudicación del contrato. </w:t>
      </w:r>
    </w:p>
    <w:p w14:paraId="0C347FD8" w14:textId="6BAF2137" w:rsidR="00C257F5" w:rsidRDefault="00B75F7B" w:rsidP="0005762C">
      <w:pPr>
        <w:spacing w:after="200" w:line="276" w:lineRule="auto"/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De acuerdo con</w:t>
      </w:r>
      <w:r w:rsidR="0005762C" w:rsidRPr="002D2774">
        <w:rPr>
          <w:rFonts w:ascii="Calibri" w:eastAsia="Calibri" w:hAnsi="Calibri"/>
          <w:lang w:val="es-ES"/>
        </w:rPr>
        <w:t xml:space="preserve"> ello, </w:t>
      </w:r>
      <w:r w:rsidR="00C257F5">
        <w:rPr>
          <w:rFonts w:ascii="Calibri" w:eastAsia="Calibri" w:hAnsi="Calibri"/>
          <w:lang w:val="es-ES"/>
        </w:rPr>
        <w:t>se establece</w:t>
      </w:r>
      <w:r>
        <w:rPr>
          <w:rFonts w:ascii="Calibri" w:eastAsia="Calibri" w:hAnsi="Calibri"/>
          <w:lang w:val="es-ES"/>
        </w:rPr>
        <w:t>n</w:t>
      </w:r>
      <w:r w:rsidR="00C257F5">
        <w:rPr>
          <w:rFonts w:ascii="Calibri" w:eastAsia="Calibri" w:hAnsi="Calibri"/>
          <w:lang w:val="es-ES"/>
        </w:rPr>
        <w:t xml:space="preserve"> </w:t>
      </w:r>
      <w:r w:rsidR="00EE1707">
        <w:rPr>
          <w:rFonts w:ascii="Calibri" w:eastAsia="Calibri" w:hAnsi="Calibri"/>
          <w:lang w:val="es-ES"/>
        </w:rPr>
        <w:t>las siguientes fechas</w:t>
      </w:r>
      <w:r w:rsidR="00C257F5">
        <w:rPr>
          <w:rFonts w:ascii="Calibri" w:eastAsia="Calibri" w:hAnsi="Calibri"/>
          <w:lang w:val="es-ES"/>
        </w:rPr>
        <w:t xml:space="preserve"> límite para</w:t>
      </w:r>
      <w:r w:rsidR="00100074">
        <w:rPr>
          <w:rFonts w:ascii="Calibri" w:eastAsia="Calibri" w:hAnsi="Calibri"/>
          <w:lang w:val="es-ES"/>
        </w:rPr>
        <w:t xml:space="preserve"> la </w:t>
      </w:r>
      <w:r w:rsidR="00C257F5">
        <w:rPr>
          <w:rFonts w:ascii="Calibri" w:eastAsia="Calibri" w:hAnsi="Calibri"/>
          <w:lang w:val="es-ES"/>
        </w:rPr>
        <w:t>adjudica</w:t>
      </w:r>
      <w:r w:rsidR="00100074">
        <w:rPr>
          <w:rFonts w:ascii="Calibri" w:eastAsia="Calibri" w:hAnsi="Calibri"/>
          <w:lang w:val="es-ES"/>
        </w:rPr>
        <w:t>ción de</w:t>
      </w:r>
      <w:r w:rsidR="00C257F5">
        <w:rPr>
          <w:rFonts w:ascii="Calibri" w:eastAsia="Calibri" w:hAnsi="Calibri"/>
          <w:lang w:val="es-ES"/>
        </w:rPr>
        <w:t xml:space="preserve"> los contratos basados</w:t>
      </w:r>
      <w:r>
        <w:rPr>
          <w:rFonts w:ascii="Calibri" w:eastAsia="Calibri" w:hAnsi="Calibri"/>
          <w:lang w:val="es-ES"/>
        </w:rPr>
        <w:t xml:space="preserve"> </w:t>
      </w:r>
      <w:r>
        <w:rPr>
          <w:rFonts w:ascii="Calibri" w:eastAsia="Calibri" w:hAnsi="Calibri"/>
          <w:lang w:val="es-ES"/>
        </w:rPr>
        <w:lastRenderedPageBreak/>
        <w:t>de los lotes 1, 2, 3 y 4</w:t>
      </w:r>
      <w:r w:rsidR="00C257F5">
        <w:rPr>
          <w:rFonts w:ascii="Calibri" w:eastAsia="Calibri" w:hAnsi="Calibri"/>
          <w:lang w:val="es-ES"/>
        </w:rPr>
        <w:t xml:space="preserve">: </w:t>
      </w:r>
    </w:p>
    <w:p w14:paraId="58605A7C" w14:textId="03EF99A4" w:rsidR="00C257F5" w:rsidRPr="005A3725" w:rsidRDefault="00C257F5" w:rsidP="00C257F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Calibri" w:eastAsia="Calibri" w:hAnsi="Calibri"/>
          <w:b/>
          <w:bCs/>
          <w:lang w:val="es-ES"/>
        </w:rPr>
      </w:pPr>
      <w:r w:rsidRPr="005A3725">
        <w:rPr>
          <w:rFonts w:ascii="Calibri" w:eastAsia="Calibri" w:hAnsi="Calibri"/>
          <w:b/>
          <w:bCs/>
          <w:lang w:val="es-ES"/>
        </w:rPr>
        <w:t>Contratos basados con segunda licitación, sujetos a regulación armonizada (SARA)</w:t>
      </w:r>
      <w:r w:rsidR="00B75F7B">
        <w:rPr>
          <w:rFonts w:ascii="Calibri" w:eastAsia="Calibri" w:hAnsi="Calibri"/>
          <w:b/>
          <w:bCs/>
          <w:lang w:val="es-ES"/>
        </w:rPr>
        <w:t xml:space="preserve"> y </w:t>
      </w:r>
      <w:r w:rsidR="00B75F7B" w:rsidRPr="00B75F7B">
        <w:rPr>
          <w:rFonts w:ascii="Calibri" w:eastAsia="Calibri" w:hAnsi="Calibri"/>
          <w:b/>
          <w:bCs/>
          <w:lang w:val="es-ES"/>
        </w:rPr>
        <w:t>no sujetos a regulación armonizada (NO SARA).</w:t>
      </w:r>
    </w:p>
    <w:p w14:paraId="3CBE3B1C" w14:textId="09BEE8AC" w:rsidR="00C257F5" w:rsidRDefault="00C257F5" w:rsidP="00C257F5">
      <w:pPr>
        <w:spacing w:after="200" w:line="276" w:lineRule="auto"/>
        <w:ind w:left="720"/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Las invitaciones a las empresas adjudicatarias se deberá</w:t>
      </w:r>
      <w:r w:rsidR="00554395">
        <w:rPr>
          <w:rFonts w:ascii="Calibri" w:eastAsia="Calibri" w:hAnsi="Calibri"/>
          <w:lang w:val="es-ES"/>
        </w:rPr>
        <w:t>n</w:t>
      </w:r>
      <w:r>
        <w:rPr>
          <w:rFonts w:ascii="Calibri" w:eastAsia="Calibri" w:hAnsi="Calibri"/>
          <w:lang w:val="es-ES"/>
        </w:rPr>
        <w:t xml:space="preserve"> realizar </w:t>
      </w:r>
      <w:r w:rsidR="00B75F7B">
        <w:rPr>
          <w:rFonts w:ascii="Calibri" w:eastAsia="Calibri" w:hAnsi="Calibri"/>
          <w:lang w:val="es-ES"/>
        </w:rPr>
        <w:t>como máximo el 31 de julio de 2025, por lo que l</w:t>
      </w:r>
      <w:r>
        <w:rPr>
          <w:rFonts w:ascii="Calibri" w:eastAsia="Calibri" w:hAnsi="Calibri"/>
          <w:lang w:val="es-ES"/>
        </w:rPr>
        <w:t>a propuesta de adjudicación</w:t>
      </w:r>
      <w:r w:rsidR="00554395">
        <w:rPr>
          <w:rFonts w:ascii="Calibri" w:eastAsia="Calibri" w:hAnsi="Calibri"/>
          <w:lang w:val="es-ES"/>
        </w:rPr>
        <w:t>,</w:t>
      </w:r>
      <w:r w:rsidR="00554395" w:rsidRPr="00554395">
        <w:t xml:space="preserve"> </w:t>
      </w:r>
      <w:r w:rsidR="00554395" w:rsidRPr="00554395">
        <w:rPr>
          <w:rFonts w:ascii="Calibri" w:eastAsia="Calibri" w:hAnsi="Calibri"/>
          <w:lang w:val="es-ES"/>
        </w:rPr>
        <w:t>junto con el resto de documentación</w:t>
      </w:r>
      <w:r w:rsidR="00554395">
        <w:rPr>
          <w:rFonts w:ascii="Calibri" w:eastAsia="Calibri" w:hAnsi="Calibri"/>
          <w:lang w:val="es-ES"/>
        </w:rPr>
        <w:t>,</w:t>
      </w:r>
      <w:r>
        <w:rPr>
          <w:rFonts w:ascii="Calibri" w:eastAsia="Calibri" w:hAnsi="Calibri"/>
          <w:lang w:val="es-ES"/>
        </w:rPr>
        <w:t xml:space="preserve"> </w:t>
      </w:r>
      <w:r w:rsidR="00E73522" w:rsidRPr="00E73522">
        <w:rPr>
          <w:rFonts w:ascii="Calibri" w:eastAsia="Calibri" w:hAnsi="Calibri"/>
          <w:lang w:val="es-ES"/>
        </w:rPr>
        <w:t xml:space="preserve">deberá tener entrada en la Dirección General de Racionalización y Centralización de la Contratación (a través de la herramienta AUNA) </w:t>
      </w:r>
      <w:r>
        <w:rPr>
          <w:rFonts w:ascii="Calibri" w:eastAsia="Calibri" w:hAnsi="Calibri"/>
          <w:lang w:val="es-ES"/>
        </w:rPr>
        <w:t xml:space="preserve">en los </w:t>
      </w:r>
      <w:r w:rsidR="00B75F7B">
        <w:rPr>
          <w:rFonts w:ascii="Calibri" w:eastAsia="Calibri" w:hAnsi="Calibri"/>
          <w:lang w:val="es-ES"/>
        </w:rPr>
        <w:t>dos meses</w:t>
      </w:r>
      <w:r>
        <w:rPr>
          <w:rFonts w:ascii="Calibri" w:eastAsia="Calibri" w:hAnsi="Calibri"/>
          <w:lang w:val="es-ES"/>
        </w:rPr>
        <w:t xml:space="preserve"> siguientes a la finalización de la vigencia del lote correspondiente</w:t>
      </w:r>
      <w:r w:rsidR="00B75F7B">
        <w:rPr>
          <w:rFonts w:ascii="Calibri" w:eastAsia="Calibri" w:hAnsi="Calibri"/>
          <w:lang w:val="es-ES"/>
        </w:rPr>
        <w:t>, como máximo hasta el 30 de septiembre de 2025</w:t>
      </w:r>
      <w:r>
        <w:rPr>
          <w:rFonts w:ascii="Calibri" w:eastAsia="Calibri" w:hAnsi="Calibri"/>
          <w:lang w:val="es-ES"/>
        </w:rPr>
        <w:t xml:space="preserve">. </w:t>
      </w:r>
    </w:p>
    <w:p w14:paraId="1A3C75F0" w14:textId="2AA460B9" w:rsidR="00C257F5" w:rsidRPr="005A3725" w:rsidRDefault="00C257F5" w:rsidP="005A3725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Calibri" w:eastAsia="Calibri" w:hAnsi="Calibri"/>
          <w:b/>
          <w:bCs/>
          <w:lang w:val="es-ES"/>
        </w:rPr>
      </w:pPr>
      <w:r w:rsidRPr="005A3725">
        <w:rPr>
          <w:rFonts w:ascii="Calibri" w:eastAsia="Calibri" w:hAnsi="Calibri"/>
          <w:b/>
          <w:bCs/>
          <w:lang w:val="es-ES"/>
        </w:rPr>
        <w:t>Contratos basados sin nueva licitación</w:t>
      </w:r>
      <w:r w:rsidR="00554395" w:rsidRPr="005A3725">
        <w:rPr>
          <w:rFonts w:ascii="Calibri" w:eastAsia="Calibri" w:hAnsi="Calibri"/>
          <w:b/>
          <w:bCs/>
          <w:lang w:val="es-ES"/>
        </w:rPr>
        <w:t xml:space="preserve"> y en los que hubieran quedado fijados todos los términos de los suministros de todas o algunas de las categorías de bienes</w:t>
      </w:r>
      <w:r w:rsidR="009B6E68">
        <w:rPr>
          <w:rFonts w:ascii="Calibri" w:eastAsia="Calibri" w:hAnsi="Calibri"/>
          <w:b/>
          <w:bCs/>
          <w:lang w:val="es-ES"/>
        </w:rPr>
        <w:t xml:space="preserve"> (</w:t>
      </w:r>
      <w:r w:rsidR="00B75F7B">
        <w:rPr>
          <w:rFonts w:ascii="Calibri" w:eastAsia="Calibri" w:hAnsi="Calibri"/>
          <w:b/>
          <w:bCs/>
          <w:lang w:val="es-ES"/>
        </w:rPr>
        <w:t xml:space="preserve">cláusula </w:t>
      </w:r>
      <w:r w:rsidR="009B6E68">
        <w:rPr>
          <w:rFonts w:ascii="Calibri" w:eastAsia="Calibri" w:hAnsi="Calibri"/>
          <w:b/>
          <w:bCs/>
          <w:lang w:val="es-ES"/>
        </w:rPr>
        <w:t>27.2,</w:t>
      </w:r>
      <w:r w:rsidR="00B75F7B">
        <w:rPr>
          <w:rFonts w:ascii="Calibri" w:eastAsia="Calibri" w:hAnsi="Calibri"/>
          <w:b/>
          <w:bCs/>
          <w:lang w:val="es-ES"/>
        </w:rPr>
        <w:t xml:space="preserve"> apartados</w:t>
      </w:r>
      <w:r w:rsidR="009B6E68">
        <w:rPr>
          <w:rFonts w:ascii="Calibri" w:eastAsia="Calibri" w:hAnsi="Calibri"/>
          <w:b/>
          <w:bCs/>
          <w:lang w:val="es-ES"/>
        </w:rPr>
        <w:t xml:space="preserve"> 2º y 3º)</w:t>
      </w:r>
      <w:r w:rsidR="00554395" w:rsidRPr="005A3725">
        <w:rPr>
          <w:rFonts w:ascii="Calibri" w:eastAsia="Calibri" w:hAnsi="Calibri"/>
          <w:b/>
          <w:bCs/>
          <w:lang w:val="es-ES"/>
        </w:rPr>
        <w:t xml:space="preserve">: </w:t>
      </w:r>
    </w:p>
    <w:p w14:paraId="226B4DF6" w14:textId="4C221B01" w:rsidR="00554395" w:rsidRDefault="00554395" w:rsidP="00C257F5">
      <w:pPr>
        <w:spacing w:after="200" w:line="276" w:lineRule="auto"/>
        <w:ind w:left="720"/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Las propuestas de adjudicación,</w:t>
      </w:r>
      <w:r w:rsidRPr="00554395">
        <w:t xml:space="preserve"> </w:t>
      </w:r>
      <w:r w:rsidRPr="00554395">
        <w:rPr>
          <w:rFonts w:ascii="Calibri" w:eastAsia="Calibri" w:hAnsi="Calibri"/>
          <w:lang w:val="es-ES"/>
        </w:rPr>
        <w:t>junto con el resto de documentación</w:t>
      </w:r>
      <w:r>
        <w:rPr>
          <w:rFonts w:ascii="Calibri" w:eastAsia="Calibri" w:hAnsi="Calibri"/>
          <w:lang w:val="es-ES"/>
        </w:rPr>
        <w:t xml:space="preserve">, </w:t>
      </w:r>
      <w:r w:rsidR="00E73522" w:rsidRPr="00E73522">
        <w:rPr>
          <w:rFonts w:ascii="Calibri" w:eastAsia="Calibri" w:hAnsi="Calibri"/>
          <w:lang w:val="es-ES"/>
        </w:rPr>
        <w:t xml:space="preserve">deberá tener entrada en la Dirección General de Racionalización y Centralización de la Contratación (a través de la herramienta AUNA) </w:t>
      </w:r>
      <w:r>
        <w:rPr>
          <w:rFonts w:ascii="Calibri" w:eastAsia="Calibri" w:hAnsi="Calibri"/>
          <w:lang w:val="es-ES"/>
        </w:rPr>
        <w:t>antes de finalización de la vigencia del lote correspondiente</w:t>
      </w:r>
      <w:r w:rsidR="00B75F7B">
        <w:rPr>
          <w:rFonts w:ascii="Calibri" w:eastAsia="Calibri" w:hAnsi="Calibri"/>
          <w:lang w:val="es-ES"/>
        </w:rPr>
        <w:t xml:space="preserve"> y, por tanto, como máximo, hasta el 31 de julio de 2025</w:t>
      </w:r>
      <w:r>
        <w:rPr>
          <w:rFonts w:ascii="Calibri" w:eastAsia="Calibri" w:hAnsi="Calibri"/>
          <w:lang w:val="es-ES"/>
        </w:rPr>
        <w:t xml:space="preserve">. </w:t>
      </w:r>
    </w:p>
    <w:p w14:paraId="4F46261F" w14:textId="0A9300D4" w:rsidR="0005762C" w:rsidRDefault="002E3F42" w:rsidP="0005762C">
      <w:pPr>
        <w:spacing w:after="120" w:line="288" w:lineRule="auto"/>
        <w:jc w:val="both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C</w:t>
      </w:r>
      <w:r w:rsidR="0005762C" w:rsidRPr="005A3725">
        <w:rPr>
          <w:rFonts w:ascii="Calibri" w:hAnsi="Calibri"/>
          <w:lang w:val="es-ES_tradnl"/>
        </w:rPr>
        <w:t>uando las necesidades a satisfacer así lo justifiquen y los plazos disponibles para la adjudicación en la fecha límite establecida lo permitan, con carácter excepcional</w:t>
      </w:r>
      <w:r>
        <w:rPr>
          <w:rFonts w:ascii="Calibri" w:hAnsi="Calibri"/>
          <w:lang w:val="es-ES_tradnl"/>
        </w:rPr>
        <w:t>,</w:t>
      </w:r>
      <w:r w:rsidR="0005762C" w:rsidRPr="005A3725">
        <w:rPr>
          <w:rFonts w:ascii="Calibri" w:hAnsi="Calibri"/>
          <w:lang w:val="es-ES_tradnl"/>
        </w:rPr>
        <w:t xml:space="preserve"> la Dirección General de Racionalización y Centralización de la Contratación podrá admitir a trámite contratos basados que hayan superado las fechas señaladas anteriormente. </w:t>
      </w:r>
    </w:p>
    <w:p w14:paraId="51316501" w14:textId="7E15C1D2" w:rsidR="0005762C" w:rsidRDefault="00B75F7B" w:rsidP="00645484">
      <w:pPr>
        <w:spacing w:after="120" w:line="288" w:lineRule="auto"/>
        <w:jc w:val="both"/>
        <w:rPr>
          <w:rFonts w:ascii="Calibri" w:hAnsi="Calibri"/>
        </w:rPr>
      </w:pPr>
      <w:r w:rsidRPr="00B75F7B">
        <w:rPr>
          <w:rFonts w:ascii="Calibri" w:hAnsi="Calibri"/>
          <w:lang w:val="es-ES_tradnl"/>
        </w:rPr>
        <w:t xml:space="preserve">Dado que el valor máximo estimado opera como límite </w:t>
      </w:r>
      <w:r w:rsidR="00463D66">
        <w:rPr>
          <w:rFonts w:ascii="Calibri" w:hAnsi="Calibri"/>
          <w:lang w:val="es-ES_tradnl"/>
        </w:rPr>
        <w:t>c</w:t>
      </w:r>
      <w:r w:rsidRPr="00B75F7B">
        <w:rPr>
          <w:rFonts w:ascii="Calibri" w:hAnsi="Calibri"/>
          <w:lang w:val="es-ES_tradnl"/>
        </w:rPr>
        <w:t xml:space="preserve">uyo exceso determinará la extinción del acuerdo marco para </w:t>
      </w:r>
      <w:r w:rsidR="00463D66">
        <w:rPr>
          <w:rFonts w:ascii="Calibri" w:hAnsi="Calibri"/>
          <w:lang w:val="es-ES_tradnl"/>
        </w:rPr>
        <w:t>el correspondiente</w:t>
      </w:r>
      <w:r w:rsidRPr="00B75F7B">
        <w:rPr>
          <w:rFonts w:ascii="Calibri" w:hAnsi="Calibri"/>
          <w:lang w:val="es-ES_tradnl"/>
        </w:rPr>
        <w:t xml:space="preserve"> lote, la </w:t>
      </w:r>
      <w:r w:rsidR="00463D66">
        <w:rPr>
          <w:rFonts w:ascii="Calibri" w:hAnsi="Calibri"/>
          <w:lang w:val="es-ES_tradnl"/>
        </w:rPr>
        <w:t xml:space="preserve">fecha de </w:t>
      </w:r>
      <w:r w:rsidRPr="00B75F7B">
        <w:rPr>
          <w:rFonts w:ascii="Calibri" w:hAnsi="Calibri"/>
          <w:lang w:val="es-ES_tradnl"/>
        </w:rPr>
        <w:t xml:space="preserve">finalización de cada uno de los lotes </w:t>
      </w:r>
      <w:r w:rsidR="00463D66">
        <w:rPr>
          <w:rFonts w:ascii="Calibri" w:hAnsi="Calibri"/>
          <w:lang w:val="es-ES_tradnl"/>
        </w:rPr>
        <w:t>se anticipará en el caso de q</w:t>
      </w:r>
      <w:r w:rsidRPr="00B75F7B">
        <w:rPr>
          <w:rFonts w:ascii="Calibri" w:hAnsi="Calibri"/>
          <w:lang w:val="es-ES_tradnl"/>
        </w:rPr>
        <w:t>ue se alcance su valor máximo estimado. No obstante, se podrán adjudicar contratos basados una vez alcanzado el valor estimado, siempre que la adjudicación de dichos contratos basados no dé lugar a una modificación sustancial del acuerdo marco, en los términos del artículo 205.2c) de la LCSP</w:t>
      </w:r>
      <w:r w:rsidR="00463D66">
        <w:rPr>
          <w:rFonts w:ascii="Calibri" w:hAnsi="Calibri"/>
          <w:lang w:val="es-ES_tradnl"/>
        </w:rPr>
        <w:t>.</w:t>
      </w:r>
      <w:r w:rsidRPr="00B75F7B">
        <w:rPr>
          <w:rFonts w:ascii="Calibri" w:hAnsi="Calibri"/>
          <w:lang w:val="es-ES_tradnl"/>
        </w:rPr>
        <w:t xml:space="preserve"> </w:t>
      </w:r>
    </w:p>
    <w:p w14:paraId="23EE9AC1" w14:textId="77777777" w:rsidR="00065CA0" w:rsidRPr="00250DB6" w:rsidRDefault="00065CA0" w:rsidP="00BC06DC">
      <w:pPr>
        <w:spacing w:before="120" w:after="120"/>
        <w:jc w:val="both"/>
        <w:rPr>
          <w:rFonts w:ascii="Calibri" w:hAnsi="Calibri" w:cs="Calibri"/>
          <w:lang w:val="es-ES"/>
        </w:rPr>
      </w:pPr>
    </w:p>
    <w:sectPr w:rsidR="00065CA0" w:rsidRPr="00250DB6" w:rsidSect="00911ED8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3E50" w14:textId="77777777" w:rsidR="00CC48DF" w:rsidRDefault="00CC48DF">
      <w:r>
        <w:separator/>
      </w:r>
    </w:p>
  </w:endnote>
  <w:endnote w:type="continuationSeparator" w:id="0">
    <w:p w14:paraId="3CCFF25A" w14:textId="77777777" w:rsidR="00CC48DF" w:rsidRDefault="00CC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496"/>
      <w:gridCol w:w="2146"/>
    </w:tblGrid>
    <w:tr w:rsidR="00F2038E" w:rsidRPr="000522DE" w14:paraId="62B12DC4" w14:textId="77777777" w:rsidTr="006A3074">
      <w:trPr>
        <w:trHeight w:val="344"/>
        <w:jc w:val="center"/>
      </w:trPr>
      <w:tc>
        <w:tcPr>
          <w:tcW w:w="3887" w:type="pct"/>
          <w:vMerge w:val="restart"/>
          <w:vAlign w:val="center"/>
        </w:tcPr>
        <w:p w14:paraId="6C40F575" w14:textId="77777777" w:rsidR="00F2038E" w:rsidRPr="003766E1" w:rsidRDefault="00F2038E" w:rsidP="00911ED8">
          <w:pPr>
            <w:jc w:val="both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113" w:type="pct"/>
          <w:tcBorders>
            <w:bottom w:val="single" w:sz="4" w:space="0" w:color="auto"/>
          </w:tcBorders>
          <w:vAlign w:val="center"/>
        </w:tcPr>
        <w:p w14:paraId="131577E0" w14:textId="77777777" w:rsidR="00F2038E" w:rsidRPr="00F2038E" w:rsidRDefault="00F2038E" w:rsidP="00911ED8">
          <w:pPr>
            <w:jc w:val="both"/>
            <w:rPr>
              <w:rFonts w:ascii="Gill Sans MT" w:hAnsi="Gill Sans MT"/>
              <w:sz w:val="9"/>
              <w:szCs w:val="9"/>
            </w:rPr>
          </w:pPr>
          <w:r w:rsidRPr="00F2038E">
            <w:rPr>
              <w:rFonts w:ascii="Gill Sans MT" w:hAnsi="Gill Sans MT"/>
              <w:sz w:val="9"/>
              <w:szCs w:val="9"/>
            </w:rPr>
            <w:t>MINISTERIO</w:t>
          </w:r>
        </w:p>
        <w:p w14:paraId="79FFBAE0" w14:textId="112C0074" w:rsidR="003059CA" w:rsidRPr="003766E1" w:rsidRDefault="00F2038E" w:rsidP="00911ED8">
          <w:pPr>
            <w:jc w:val="both"/>
            <w:rPr>
              <w:rFonts w:ascii="Gill Sans MT" w:hAnsi="Gill Sans MT"/>
              <w:sz w:val="9"/>
              <w:szCs w:val="9"/>
            </w:rPr>
          </w:pPr>
          <w:r w:rsidRPr="00F2038E">
            <w:rPr>
              <w:rFonts w:ascii="Gill Sans MT" w:hAnsi="Gill Sans MT"/>
              <w:sz w:val="9"/>
              <w:szCs w:val="9"/>
            </w:rPr>
            <w:t>DE HACIENDA</w:t>
          </w:r>
        </w:p>
      </w:tc>
    </w:tr>
    <w:tr w:rsidR="00911ED8" w:rsidRPr="00AF2968" w14:paraId="193B92F6" w14:textId="77777777" w:rsidTr="006A3074">
      <w:trPr>
        <w:trHeight w:val="129"/>
        <w:jc w:val="center"/>
      </w:trPr>
      <w:tc>
        <w:tcPr>
          <w:tcW w:w="3887" w:type="pct"/>
          <w:vMerge/>
          <w:vAlign w:val="center"/>
        </w:tcPr>
        <w:p w14:paraId="4235A4ED" w14:textId="77777777" w:rsidR="003766E1" w:rsidRPr="003766E1" w:rsidRDefault="003766E1" w:rsidP="00911ED8">
          <w:pPr>
            <w:jc w:val="both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113" w:type="pct"/>
          <w:tcBorders>
            <w:top w:val="single" w:sz="4" w:space="0" w:color="auto"/>
          </w:tcBorders>
          <w:tcMar>
            <w:top w:w="108" w:type="dxa"/>
            <w:bottom w:w="108" w:type="dxa"/>
          </w:tcMar>
          <w:vAlign w:val="center"/>
        </w:tcPr>
        <w:p w14:paraId="1F04E115" w14:textId="77777777" w:rsidR="003766E1" w:rsidRPr="003766E1" w:rsidRDefault="003766E1" w:rsidP="00911ED8">
          <w:pPr>
            <w:jc w:val="both"/>
            <w:rPr>
              <w:rFonts w:ascii="Gill Sans MT" w:hAnsi="Gill Sans MT"/>
              <w:sz w:val="9"/>
              <w:szCs w:val="9"/>
            </w:rPr>
          </w:pPr>
          <w:r w:rsidRPr="003766E1">
            <w:rPr>
              <w:rFonts w:ascii="Gill Sans MT" w:hAnsi="Gill Sans MT"/>
              <w:sz w:val="9"/>
              <w:szCs w:val="9"/>
            </w:rPr>
            <w:t>DIRECCIÓN GENERAL DE RACIONALIZACIÓN Y CENTRALIZACIÓN DE LA CONTRATACIÓN</w:t>
          </w:r>
        </w:p>
      </w:tc>
    </w:tr>
  </w:tbl>
  <w:p w14:paraId="1D81A0EA" w14:textId="77777777" w:rsidR="00AB22C0" w:rsidRPr="007C0B48" w:rsidRDefault="00AB22C0" w:rsidP="00AB22C0">
    <w:pPr>
      <w:pStyle w:val="Piedepgina"/>
      <w:tabs>
        <w:tab w:val="clear" w:pos="4252"/>
        <w:tab w:val="clear" w:pos="8504"/>
      </w:tabs>
      <w:jc w:val="center"/>
      <w:rPr>
        <w:rFonts w:cs="Arial"/>
        <w:sz w:val="14"/>
        <w:szCs w:val="14"/>
      </w:rPr>
    </w:pPr>
    <w:r w:rsidRPr="00AB22C0">
      <w:rPr>
        <w:rFonts w:cs="Arial"/>
        <w:sz w:val="14"/>
        <w:szCs w:val="14"/>
        <w:lang w:val="es-ES_tradnl"/>
      </w:rPr>
      <w:t>-Página</w:t>
    </w:r>
    <w:r w:rsidRPr="007C0B48">
      <w:rPr>
        <w:rFonts w:cs="Arial"/>
        <w:sz w:val="14"/>
        <w:szCs w:val="14"/>
      </w:rPr>
      <w:t xml:space="preserve"> </w:t>
    </w:r>
    <w:r w:rsidRPr="007C0B48">
      <w:rPr>
        <w:rFonts w:cs="Arial"/>
        <w:sz w:val="14"/>
        <w:szCs w:val="14"/>
      </w:rPr>
      <w:fldChar w:fldCharType="begin"/>
    </w:r>
    <w:r w:rsidRPr="007C0B48">
      <w:rPr>
        <w:rFonts w:cs="Arial"/>
        <w:sz w:val="14"/>
        <w:szCs w:val="14"/>
      </w:rPr>
      <w:instrText>PAGE  \* Arabic  \* MERGEFORMAT</w:instrText>
    </w:r>
    <w:r w:rsidRPr="007C0B48">
      <w:rPr>
        <w:rFonts w:cs="Arial"/>
        <w:sz w:val="14"/>
        <w:szCs w:val="14"/>
      </w:rPr>
      <w:fldChar w:fldCharType="separate"/>
    </w:r>
    <w:r w:rsidR="000E1281">
      <w:rPr>
        <w:rFonts w:cs="Arial"/>
        <w:noProof/>
        <w:sz w:val="14"/>
        <w:szCs w:val="14"/>
      </w:rPr>
      <w:t>2</w:t>
    </w:r>
    <w:r w:rsidRPr="007C0B48">
      <w:rPr>
        <w:rFonts w:cs="Arial"/>
        <w:sz w:val="14"/>
        <w:szCs w:val="14"/>
      </w:rPr>
      <w:fldChar w:fldCharType="end"/>
    </w:r>
    <w:r w:rsidRPr="007C0B48">
      <w:rPr>
        <w:rFonts w:cs="Arial"/>
        <w:sz w:val="14"/>
        <w:szCs w:val="14"/>
      </w:rPr>
      <w:t xml:space="preserve"> de </w:t>
    </w:r>
    <w:r>
      <w:rPr>
        <w:rFonts w:cs="Arial"/>
        <w:noProof/>
        <w:sz w:val="14"/>
        <w:szCs w:val="14"/>
      </w:rPr>
      <w:fldChar w:fldCharType="begin"/>
    </w:r>
    <w:r>
      <w:rPr>
        <w:rFonts w:cs="Arial"/>
        <w:noProof/>
        <w:sz w:val="14"/>
        <w:szCs w:val="14"/>
      </w:rPr>
      <w:instrText>NUMPAGES  \* Arabic  \* MERGEFORMAT</w:instrText>
    </w:r>
    <w:r>
      <w:rPr>
        <w:rFonts w:cs="Arial"/>
        <w:noProof/>
        <w:sz w:val="14"/>
        <w:szCs w:val="14"/>
      </w:rPr>
      <w:fldChar w:fldCharType="separate"/>
    </w:r>
    <w:r w:rsidR="000E1281">
      <w:rPr>
        <w:rFonts w:cs="Arial"/>
        <w:noProof/>
        <w:sz w:val="14"/>
        <w:szCs w:val="14"/>
      </w:rPr>
      <w:t>3</w:t>
    </w:r>
    <w:r>
      <w:rPr>
        <w:rFonts w:cs="Arial"/>
        <w:noProof/>
        <w:sz w:val="14"/>
        <w:szCs w:val="14"/>
      </w:rPr>
      <w:fldChar w:fldCharType="end"/>
    </w:r>
    <w:r w:rsidRPr="007C0B48">
      <w:rPr>
        <w:rFonts w:cs="Arial"/>
        <w:sz w:val="14"/>
        <w:szCs w:val="1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8F50" w14:textId="77777777" w:rsidR="003766E1" w:rsidRPr="003766E1" w:rsidRDefault="003766E1" w:rsidP="003766E1">
    <w:pPr>
      <w:jc w:val="both"/>
      <w:rPr>
        <w:sz w:val="18"/>
        <w:szCs w:val="18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33"/>
      <w:gridCol w:w="4123"/>
      <w:gridCol w:w="1986"/>
    </w:tblGrid>
    <w:tr w:rsidR="00E50EA2" w:rsidRPr="00B0475C" w14:paraId="3EAC6CA4" w14:textId="77777777" w:rsidTr="00604B52">
      <w:trPr>
        <w:jc w:val="center"/>
      </w:trPr>
      <w:tc>
        <w:tcPr>
          <w:tcW w:w="1832" w:type="pct"/>
          <w:vAlign w:val="center"/>
        </w:tcPr>
        <w:p w14:paraId="2CB7C110" w14:textId="77777777" w:rsidR="00E50EA2" w:rsidRPr="00BD4E07" w:rsidRDefault="00E50EA2" w:rsidP="00E50EA2">
          <w:pPr>
            <w:widowControl w:val="0"/>
            <w:jc w:val="both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38" w:type="pct"/>
          <w:vMerge w:val="restart"/>
          <w:tcBorders>
            <w:right w:val="single" w:sz="4" w:space="0" w:color="auto"/>
          </w:tcBorders>
          <w:vAlign w:val="center"/>
        </w:tcPr>
        <w:p w14:paraId="207643DA" w14:textId="77777777" w:rsidR="00E50EA2" w:rsidRPr="00BD4E07" w:rsidRDefault="00E50EA2" w:rsidP="00E50EA2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30" w:type="pct"/>
          <w:vMerge w:val="restart"/>
          <w:tcBorders>
            <w:left w:val="single" w:sz="4" w:space="0" w:color="auto"/>
          </w:tcBorders>
          <w:vAlign w:val="center"/>
        </w:tcPr>
        <w:p w14:paraId="7415CF25" w14:textId="77777777" w:rsidR="00E50EA2" w:rsidRPr="005A0278" w:rsidRDefault="00E50EA2" w:rsidP="00E50EA2">
          <w:pPr>
            <w:jc w:val="both"/>
            <w:rPr>
              <w:rFonts w:ascii="Gill Sans MT" w:hAnsi="Gill Sans MT"/>
              <w:sz w:val="14"/>
              <w:szCs w:val="14"/>
            </w:rPr>
          </w:pPr>
          <w:r w:rsidRPr="005A0278">
            <w:rPr>
              <w:rFonts w:ascii="Gill Sans MT" w:hAnsi="Gill Sans MT"/>
              <w:sz w:val="14"/>
              <w:szCs w:val="14"/>
            </w:rPr>
            <w:t xml:space="preserve">ALCALÁ, </w:t>
          </w:r>
          <w:r>
            <w:rPr>
              <w:rFonts w:ascii="Gill Sans MT" w:hAnsi="Gill Sans MT"/>
              <w:sz w:val="14"/>
              <w:szCs w:val="14"/>
            </w:rPr>
            <w:t>5</w:t>
          </w:r>
          <w:r w:rsidRPr="005A0278">
            <w:rPr>
              <w:rFonts w:ascii="Gill Sans MT" w:hAnsi="Gill Sans MT"/>
              <w:sz w:val="14"/>
              <w:szCs w:val="14"/>
            </w:rPr>
            <w:t>.</w:t>
          </w:r>
          <w:r>
            <w:rPr>
              <w:rFonts w:ascii="Gill Sans MT" w:hAnsi="Gill Sans MT"/>
              <w:sz w:val="14"/>
              <w:szCs w:val="14"/>
            </w:rPr>
            <w:t xml:space="preserve"> 4ª planta</w:t>
          </w:r>
        </w:p>
        <w:p w14:paraId="03B8AD30" w14:textId="77777777" w:rsidR="00E50EA2" w:rsidRPr="005A0278" w:rsidRDefault="00E50EA2" w:rsidP="00E50EA2">
          <w:pPr>
            <w:jc w:val="both"/>
            <w:rPr>
              <w:rFonts w:ascii="Gill Sans MT" w:hAnsi="Gill Sans MT"/>
              <w:sz w:val="14"/>
              <w:szCs w:val="14"/>
            </w:rPr>
          </w:pPr>
          <w:r w:rsidRPr="005A0278">
            <w:rPr>
              <w:rFonts w:ascii="Gill Sans MT" w:hAnsi="Gill Sans MT"/>
              <w:sz w:val="14"/>
              <w:szCs w:val="14"/>
            </w:rPr>
            <w:t>28071 MADRID</w:t>
          </w:r>
        </w:p>
        <w:p w14:paraId="5ED8CFE5" w14:textId="77777777" w:rsidR="00E50EA2" w:rsidRPr="005A0278" w:rsidRDefault="00E50EA2" w:rsidP="00E50EA2">
          <w:pPr>
            <w:jc w:val="both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 xml:space="preserve">TEL:  91 595 </w:t>
          </w:r>
          <w:r w:rsidRPr="001D04FA">
            <w:rPr>
              <w:rFonts w:ascii="Gill Sans MT" w:hAnsi="Gill Sans MT"/>
              <w:sz w:val="14"/>
              <w:szCs w:val="14"/>
            </w:rPr>
            <w:t>81 00</w:t>
          </w:r>
        </w:p>
      </w:tc>
    </w:tr>
    <w:tr w:rsidR="00E50EA2" w:rsidRPr="00B0475C" w14:paraId="3666582F" w14:textId="77777777" w:rsidTr="00604B52">
      <w:trPr>
        <w:jc w:val="center"/>
      </w:trPr>
      <w:tc>
        <w:tcPr>
          <w:tcW w:w="1832" w:type="pct"/>
          <w:vAlign w:val="center"/>
        </w:tcPr>
        <w:p w14:paraId="77D0B15B" w14:textId="7158C00F" w:rsidR="00E50EA2" w:rsidRPr="000772D1" w:rsidRDefault="00E50EA2" w:rsidP="00E50EA2">
          <w:pPr>
            <w:widowControl w:val="0"/>
            <w:jc w:val="both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38" w:type="pct"/>
          <w:vMerge/>
          <w:tcBorders>
            <w:right w:val="single" w:sz="4" w:space="0" w:color="auto"/>
          </w:tcBorders>
          <w:vAlign w:val="center"/>
        </w:tcPr>
        <w:p w14:paraId="1C30F1D6" w14:textId="77777777" w:rsidR="00E50EA2" w:rsidRPr="000772D1" w:rsidRDefault="00E50EA2" w:rsidP="00E50EA2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30" w:type="pct"/>
          <w:vMerge/>
          <w:tcBorders>
            <w:left w:val="single" w:sz="4" w:space="0" w:color="auto"/>
          </w:tcBorders>
          <w:vAlign w:val="center"/>
        </w:tcPr>
        <w:p w14:paraId="1CBA694C" w14:textId="77777777" w:rsidR="00E50EA2" w:rsidRPr="000772D1" w:rsidRDefault="00E50EA2" w:rsidP="00E50EA2">
          <w:pPr>
            <w:spacing w:line="140" w:lineRule="atLeast"/>
            <w:rPr>
              <w:rFonts w:ascii="Gill Sans MT" w:hAnsi="Gill Sans MT"/>
              <w:sz w:val="14"/>
              <w:szCs w:val="14"/>
            </w:rPr>
          </w:pPr>
        </w:p>
      </w:tc>
    </w:tr>
  </w:tbl>
  <w:p w14:paraId="0F51D92C" w14:textId="77777777" w:rsidR="00F2038E" w:rsidRPr="003766E1" w:rsidRDefault="00AB22C0" w:rsidP="00AB22C0">
    <w:pPr>
      <w:pStyle w:val="Piedepgina"/>
      <w:tabs>
        <w:tab w:val="clear" w:pos="4252"/>
        <w:tab w:val="clear" w:pos="8504"/>
      </w:tabs>
      <w:jc w:val="center"/>
      <w:rPr>
        <w:rFonts w:cstheme="minorHAnsi"/>
        <w:sz w:val="18"/>
        <w:szCs w:val="18"/>
      </w:rPr>
    </w:pPr>
    <w:r w:rsidRPr="00AB22C0">
      <w:rPr>
        <w:rFonts w:cs="Arial"/>
        <w:sz w:val="14"/>
        <w:szCs w:val="14"/>
        <w:lang w:val="es-ES_tradnl"/>
      </w:rPr>
      <w:t>-Página</w:t>
    </w:r>
    <w:r w:rsidRPr="007C0B48">
      <w:rPr>
        <w:rFonts w:cs="Arial"/>
        <w:sz w:val="14"/>
        <w:szCs w:val="14"/>
      </w:rPr>
      <w:t xml:space="preserve"> </w:t>
    </w:r>
    <w:r w:rsidRPr="007C0B48">
      <w:rPr>
        <w:rFonts w:cs="Arial"/>
        <w:sz w:val="14"/>
        <w:szCs w:val="14"/>
      </w:rPr>
      <w:fldChar w:fldCharType="begin"/>
    </w:r>
    <w:r w:rsidRPr="007C0B48">
      <w:rPr>
        <w:rFonts w:cs="Arial"/>
        <w:sz w:val="14"/>
        <w:szCs w:val="14"/>
      </w:rPr>
      <w:instrText>PAGE  \* Arabic  \* MERGEFORMAT</w:instrText>
    </w:r>
    <w:r w:rsidRPr="007C0B48">
      <w:rPr>
        <w:rFonts w:cs="Arial"/>
        <w:sz w:val="14"/>
        <w:szCs w:val="14"/>
      </w:rPr>
      <w:fldChar w:fldCharType="separate"/>
    </w:r>
    <w:r w:rsidR="000E1281">
      <w:rPr>
        <w:rFonts w:cs="Arial"/>
        <w:noProof/>
        <w:sz w:val="14"/>
        <w:szCs w:val="14"/>
      </w:rPr>
      <w:t>1</w:t>
    </w:r>
    <w:r w:rsidRPr="007C0B48">
      <w:rPr>
        <w:rFonts w:cs="Arial"/>
        <w:sz w:val="14"/>
        <w:szCs w:val="14"/>
      </w:rPr>
      <w:fldChar w:fldCharType="end"/>
    </w:r>
    <w:r w:rsidRPr="007C0B48">
      <w:rPr>
        <w:rFonts w:cs="Arial"/>
        <w:sz w:val="14"/>
        <w:szCs w:val="14"/>
      </w:rPr>
      <w:t xml:space="preserve"> de </w:t>
    </w:r>
    <w:r>
      <w:rPr>
        <w:rFonts w:cs="Arial"/>
        <w:noProof/>
        <w:sz w:val="14"/>
        <w:szCs w:val="14"/>
      </w:rPr>
      <w:fldChar w:fldCharType="begin"/>
    </w:r>
    <w:r>
      <w:rPr>
        <w:rFonts w:cs="Arial"/>
        <w:noProof/>
        <w:sz w:val="14"/>
        <w:szCs w:val="14"/>
      </w:rPr>
      <w:instrText>NUMPAGES  \* Arabic  \* MERGEFORMAT</w:instrText>
    </w:r>
    <w:r>
      <w:rPr>
        <w:rFonts w:cs="Arial"/>
        <w:noProof/>
        <w:sz w:val="14"/>
        <w:szCs w:val="14"/>
      </w:rPr>
      <w:fldChar w:fldCharType="separate"/>
    </w:r>
    <w:r w:rsidR="000E1281">
      <w:rPr>
        <w:rFonts w:cs="Arial"/>
        <w:noProof/>
        <w:sz w:val="14"/>
        <w:szCs w:val="14"/>
      </w:rPr>
      <w:t>3</w:t>
    </w:r>
    <w:r>
      <w:rPr>
        <w:rFonts w:cs="Arial"/>
        <w:noProof/>
        <w:sz w:val="14"/>
        <w:szCs w:val="14"/>
      </w:rPr>
      <w:fldChar w:fldCharType="end"/>
    </w:r>
    <w:r w:rsidRPr="007C0B48">
      <w:rPr>
        <w:rFonts w:cs="Arial"/>
        <w:sz w:val="14"/>
        <w:szCs w:val="1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9752" w14:textId="77777777" w:rsidR="00CC48DF" w:rsidRDefault="00CC48DF">
      <w:r>
        <w:separator/>
      </w:r>
    </w:p>
  </w:footnote>
  <w:footnote w:type="continuationSeparator" w:id="0">
    <w:p w14:paraId="11C5F5C7" w14:textId="77777777" w:rsidR="00CC48DF" w:rsidRDefault="00CC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18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71"/>
      <w:gridCol w:w="1120"/>
    </w:tblGrid>
    <w:tr w:rsidR="003766E1" w:rsidRPr="00D30116" w14:paraId="4A834A14" w14:textId="77777777" w:rsidTr="007C2575">
      <w:trPr>
        <w:cantSplit/>
        <w:trHeight w:val="1290"/>
      </w:trPr>
      <w:tc>
        <w:tcPr>
          <w:tcW w:w="4397" w:type="pct"/>
          <w:shd w:val="clear" w:color="auto" w:fill="auto"/>
          <w:vAlign w:val="center"/>
        </w:tcPr>
        <w:p w14:paraId="074A74E9" w14:textId="77777777" w:rsidR="003766E1" w:rsidRPr="00250DB6" w:rsidRDefault="003766E1" w:rsidP="003766E1">
          <w:pPr>
            <w:widowControl/>
            <w:ind w:left="-70"/>
            <w:rPr>
              <w:rFonts w:ascii="Gill Sans MT" w:eastAsia="Times New Roman" w:hAnsi="Gill Sans MT" w:cs="Times New Roman"/>
              <w:szCs w:val="4"/>
              <w:lang w:val="es-ES" w:eastAsia="es-ES"/>
            </w:rPr>
          </w:pPr>
        </w:p>
      </w:tc>
      <w:tc>
        <w:tcPr>
          <w:tcW w:w="603" w:type="pct"/>
          <w:shd w:val="clear" w:color="auto" w:fill="auto"/>
          <w:vAlign w:val="center"/>
        </w:tcPr>
        <w:p w14:paraId="4E73C617" w14:textId="77777777" w:rsidR="003766E1" w:rsidRPr="00D30116" w:rsidRDefault="003766E1" w:rsidP="003766E1">
          <w:pPr>
            <w:widowControl/>
            <w:spacing w:before="120"/>
            <w:rPr>
              <w:rFonts w:ascii="Gill Sans MT" w:eastAsia="Times New Roman" w:hAnsi="Gill Sans MT" w:cs="Times New Roman"/>
              <w:szCs w:val="4"/>
              <w:lang w:val="es-ES" w:eastAsia="es-ES"/>
            </w:rPr>
          </w:pPr>
          <w:r w:rsidRPr="00D30116">
            <w:rPr>
              <w:rFonts w:ascii="Times New Roman" w:eastAsia="Times New Roman" w:hAnsi="Times New Roman" w:cs="Times New Roman"/>
              <w:noProof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53B207" wp14:editId="48E1BF49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704850</wp:posOffset>
                    </wp:positionV>
                    <wp:extent cx="704850" cy="9525"/>
                    <wp:effectExtent l="0" t="0" r="19050" b="28575"/>
                    <wp:wrapNone/>
                    <wp:docPr id="9" name="Conector rect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04850" cy="952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A13EE6" id="Conector rec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5.5pt" to="55.3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peswEAAFsDAAAOAAAAZHJzL2Uyb0RvYy54bWysU8tu2zAQvBfoPxC811LcOnUF0znESC9F&#10;G6DpB2z4kAjwBS5r2X/fJe06bnorqgNFcrXDmeFoc3fwju11RhuD4DeLnjMdZFQ2jIL/eHp4t+YM&#10;CwQFLgYt+FEjv9u+fbOZ06CXcYpO6cwIJOAwJ8GnUtLQdSgn7QEXMelARROzh0LLPHYqw0zo3nXL&#10;vr/t5phVylFqRNrdnYp82/CN0bJ8MwZ1YU5w4lbamNv4XMduu4FhzJAmK8804B9YeLCBDr1A7aAA&#10;+5ntX1DeyhwxmrKQ0XfRGCt100BqbvpXar5PkHTTQuZgutiE/w9Wft3fh8dMNswJB0yPuao4mOzr&#10;m/ixQzPreDFLHwqTtPmx/7BekaWSSp9Wy1W1sntpTRnLZx09qxPBnQ1VCQyw/4Ll9OnvT+p2iA/W&#10;uXYbLrBZ8Nv3DRwoE8ZBoXN8UoJjGDkDN1LYZMkNEaOzqnZXHDzivctsD3TfFBMV5ycizJkDLFQg&#10;Fe05k/2jtdLZAU6n5lY6xcPbQhl11gu+vu52oZ6oW8rOol5MrLPnqI7N266u6AabQ+e01Yhcr2l+&#10;/U9sfwEAAP//AwBQSwMEFAAGAAgAAAAhAIxwUALeAAAACQEAAA8AAABkcnMvZG93bnJldi54bWxM&#10;j81OwzAQhO9IvIO1SNxaOy0UFOJUqKgHbiWAxNGNNz8Qr6PYacPbsznR2+7OaPabbDu5TpxwCK0n&#10;DclSgUAqvW2p1vDxvl88ggjRkDWdJ9TwiwG2+fVVZlLrz/SGpyLWgkMopEZDE2OfShnKBp0JS98j&#10;sVb5wZnI61BLO5gzh7tOrpTaSGda4g+N6XHXYPlTjE7DeNhVqt2vp++vdSHH14fD50tVa317Mz0/&#10;gYg4xX8zzPiMDjkzHf1INohOw+KOjXxOEq4064nagDjOw+oeZJ7Jywb5HwAAAP//AwBQSwECLQAU&#10;AAYACAAAACEAtoM4kv4AAADhAQAAEwAAAAAAAAAAAAAAAAAAAAAAW0NvbnRlbnRfVHlwZXNdLnht&#10;bFBLAQItABQABgAIAAAAIQA4/SH/1gAAAJQBAAALAAAAAAAAAAAAAAAAAC8BAABfcmVscy8ucmVs&#10;c1BLAQItABQABgAIAAAAIQBf3KpeswEAAFsDAAAOAAAAAAAAAAAAAAAAAC4CAABkcnMvZTJvRG9j&#10;LnhtbFBLAQItABQABgAIAAAAIQCMcFAC3gAAAAkBAAAPAAAAAAAAAAAAAAAAAA0EAABkcnMvZG93&#10;bnJldi54bWxQSwUGAAAAAAQABADzAAAAGAUAAAAA&#10;" strokecolor="windowText" strokeweight=".5pt">
                    <v:stroke joinstyle="miter"/>
                  </v:line>
                </w:pict>
              </mc:Fallback>
            </mc:AlternateContent>
          </w:r>
          <w:r w:rsidRPr="00D30116">
            <w:rPr>
              <w:rFonts w:ascii="Times New Roman" w:eastAsia="Times New Roman" w:hAnsi="Times New Roman" w:cs="Times New Roman"/>
              <w:noProof/>
              <w:szCs w:val="20"/>
              <w:lang w:val="es-ES" w:eastAsia="es-ES"/>
            </w:rPr>
            <w:drawing>
              <wp:inline distT="0" distB="0" distL="0" distR="0" wp14:anchorId="17744065" wp14:editId="61D7133E">
                <wp:extent cx="542261" cy="63694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4" r="55257" b="53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868" cy="637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1D8F3" w14:textId="77777777" w:rsidR="007341A2" w:rsidRDefault="007341A2" w:rsidP="00BC06DC">
    <w:pPr>
      <w:pStyle w:val="Encabezado"/>
      <w:tabs>
        <w:tab w:val="clear" w:pos="4252"/>
        <w:tab w:val="clear" w:pos="8504"/>
      </w:tabs>
      <w:jc w:val="both"/>
    </w:pPr>
  </w:p>
  <w:p w14:paraId="5A9CD990" w14:textId="77777777" w:rsidR="004850CC" w:rsidRDefault="004850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4395"/>
      <w:gridCol w:w="3828"/>
    </w:tblGrid>
    <w:tr w:rsidR="008C75C2" w:rsidRPr="008C75C2" w14:paraId="08531FC5" w14:textId="77777777" w:rsidTr="008C75C2">
      <w:trPr>
        <w:cantSplit/>
        <w:trHeight w:val="575"/>
      </w:trPr>
      <w:tc>
        <w:tcPr>
          <w:tcW w:w="736" w:type="pct"/>
          <w:vMerge w:val="restart"/>
          <w:tcBorders>
            <w:bottom w:val="nil"/>
          </w:tcBorders>
          <w:vAlign w:val="center"/>
        </w:tcPr>
        <w:p w14:paraId="5358199C" w14:textId="77777777" w:rsidR="008C75C2" w:rsidRPr="003766E1" w:rsidRDefault="008C75C2" w:rsidP="008C75C2">
          <w:pPr>
            <w:widowControl/>
            <w:tabs>
              <w:tab w:val="right" w:pos="8504"/>
            </w:tabs>
            <w:spacing w:after="120"/>
            <w:ind w:right="-68"/>
            <w:jc w:val="center"/>
            <w:rPr>
              <w:rFonts w:ascii="Arial" w:eastAsia="Times New Roman" w:hAnsi="Arial" w:cs="Times New Roman"/>
              <w:sz w:val="24"/>
              <w:szCs w:val="20"/>
              <w:lang w:val="es-ES_tradnl" w:eastAsia="es-ES"/>
            </w:rPr>
          </w:pPr>
          <w:r w:rsidRPr="00D30116">
            <w:rPr>
              <w:rFonts w:ascii="Times New Roman" w:eastAsia="Times New Roman" w:hAnsi="Times New Roman" w:cs="Times New Roman"/>
              <w:noProof/>
              <w:szCs w:val="20"/>
              <w:lang w:val="es-ES" w:eastAsia="es-ES"/>
            </w:rPr>
            <w:drawing>
              <wp:inline distT="0" distB="0" distL="0" distR="0" wp14:anchorId="130A2657" wp14:editId="076D91E7">
                <wp:extent cx="541655" cy="6369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4" r="55257" b="53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65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9" w:type="pct"/>
          <w:vMerge w:val="restart"/>
          <w:tcBorders>
            <w:bottom w:val="nil"/>
          </w:tcBorders>
          <w:vAlign w:val="center"/>
        </w:tcPr>
        <w:p w14:paraId="5F1DF9EC" w14:textId="77777777" w:rsidR="00E76D02" w:rsidRDefault="00E76D02" w:rsidP="00E50EA2">
          <w:pPr>
            <w:widowControl/>
            <w:rPr>
              <w:rFonts w:ascii="Gill Sans MT" w:eastAsia="Times New Roman" w:hAnsi="Gill Sans MT" w:cs="Times New Roman"/>
              <w:sz w:val="20"/>
              <w:szCs w:val="20"/>
              <w:lang w:val="es-ES_tradnl" w:eastAsia="es-ES"/>
            </w:rPr>
          </w:pPr>
          <w:r>
            <w:rPr>
              <w:rFonts w:ascii="Gill Sans MT" w:eastAsia="Times New Roman" w:hAnsi="Gill Sans MT" w:cs="Times New Roman"/>
              <w:sz w:val="20"/>
              <w:szCs w:val="20"/>
              <w:lang w:val="es-ES_tradnl" w:eastAsia="es-ES"/>
            </w:rPr>
            <w:t>VICEPRESIDENCIA PRIMERA</w:t>
          </w:r>
        </w:p>
        <w:p w14:paraId="3016A01B" w14:textId="77777777" w:rsidR="00E76D02" w:rsidRDefault="00E76D02" w:rsidP="00E50EA2">
          <w:pPr>
            <w:widowControl/>
            <w:rPr>
              <w:rFonts w:ascii="Gill Sans MT" w:eastAsia="Times New Roman" w:hAnsi="Gill Sans MT" w:cs="Times New Roman"/>
              <w:sz w:val="20"/>
              <w:szCs w:val="20"/>
              <w:lang w:val="es-ES_tradnl" w:eastAsia="es-ES"/>
            </w:rPr>
          </w:pPr>
          <w:r>
            <w:rPr>
              <w:rFonts w:ascii="Gill Sans MT" w:eastAsia="Times New Roman" w:hAnsi="Gill Sans MT" w:cs="Times New Roman"/>
              <w:sz w:val="20"/>
              <w:szCs w:val="20"/>
              <w:lang w:val="es-ES_tradnl" w:eastAsia="es-ES"/>
            </w:rPr>
            <w:t>DEL GOBIERNO</w:t>
          </w:r>
        </w:p>
        <w:p w14:paraId="438D1821" w14:textId="77777777" w:rsidR="00E76D02" w:rsidRDefault="00E76D02" w:rsidP="00E50EA2">
          <w:pPr>
            <w:widowControl/>
            <w:rPr>
              <w:rFonts w:ascii="Gill Sans MT" w:eastAsia="Times New Roman" w:hAnsi="Gill Sans MT" w:cs="Times New Roman"/>
              <w:sz w:val="20"/>
              <w:szCs w:val="20"/>
              <w:lang w:val="es-ES_tradnl" w:eastAsia="es-ES"/>
            </w:rPr>
          </w:pPr>
        </w:p>
        <w:p w14:paraId="75DB623D" w14:textId="6F08E6D9" w:rsidR="008C75C2" w:rsidRPr="003766E1" w:rsidRDefault="008C75C2" w:rsidP="00E50EA2">
          <w:pPr>
            <w:widowControl/>
            <w:rPr>
              <w:rFonts w:ascii="Gill Sans MT" w:eastAsia="Times New Roman" w:hAnsi="Gill Sans MT" w:cs="Times New Roman"/>
              <w:sz w:val="20"/>
              <w:szCs w:val="20"/>
              <w:lang w:val="es-ES_tradnl" w:eastAsia="es-ES"/>
            </w:rPr>
          </w:pPr>
          <w:r w:rsidRPr="003766E1">
            <w:rPr>
              <w:rFonts w:ascii="Gill Sans MT" w:eastAsia="Times New Roman" w:hAnsi="Gill Sans MT" w:cs="Times New Roman"/>
              <w:sz w:val="20"/>
              <w:szCs w:val="20"/>
              <w:lang w:val="es-ES_tradnl" w:eastAsia="es-ES"/>
            </w:rPr>
            <w:t>MINISTERIO</w:t>
          </w:r>
        </w:p>
        <w:p w14:paraId="7C54C5ED" w14:textId="77777777" w:rsidR="008C75C2" w:rsidRDefault="008C75C2" w:rsidP="00E50EA2">
          <w:pPr>
            <w:widowControl/>
            <w:tabs>
              <w:tab w:val="left" w:pos="5387"/>
              <w:tab w:val="right" w:pos="8504"/>
            </w:tabs>
            <w:rPr>
              <w:rFonts w:ascii="Gill Sans MT" w:eastAsia="Times New Roman" w:hAnsi="Gill Sans MT" w:cs="Times New Roman"/>
              <w:sz w:val="20"/>
              <w:szCs w:val="20"/>
              <w:lang w:val="es-ES_tradnl" w:eastAsia="es-ES"/>
            </w:rPr>
          </w:pPr>
          <w:r w:rsidRPr="003766E1">
            <w:rPr>
              <w:rFonts w:ascii="Gill Sans MT" w:eastAsia="Times New Roman" w:hAnsi="Gill Sans MT" w:cs="Times New Roman"/>
              <w:sz w:val="20"/>
              <w:szCs w:val="20"/>
              <w:lang w:val="es-ES_tradnl" w:eastAsia="es-ES"/>
            </w:rPr>
            <w:t>DE HACIENDA</w:t>
          </w:r>
        </w:p>
        <w:p w14:paraId="5B3A1A65" w14:textId="7DFE4114" w:rsidR="008C75C2" w:rsidRPr="003766E1" w:rsidRDefault="008C75C2" w:rsidP="00E50EA2">
          <w:pPr>
            <w:widowControl/>
            <w:tabs>
              <w:tab w:val="left" w:pos="5387"/>
              <w:tab w:val="right" w:pos="8504"/>
            </w:tabs>
            <w:rPr>
              <w:rFonts w:ascii="Garrison Light Sans" w:eastAsia="Times New Roman" w:hAnsi="Garrison Light Sans" w:cs="Times New Roman"/>
              <w:b/>
              <w:sz w:val="14"/>
              <w:szCs w:val="20"/>
              <w:lang w:val="es-ES_tradnl" w:eastAsia="es-ES"/>
            </w:rPr>
          </w:pPr>
        </w:p>
      </w:tc>
      <w:tc>
        <w:tcPr>
          <w:tcW w:w="1985" w:type="pct"/>
          <w:tcBorders>
            <w:bottom w:val="nil"/>
          </w:tcBorders>
          <w:shd w:val="clear" w:color="auto" w:fill="D9D9D9"/>
          <w:vAlign w:val="center"/>
        </w:tcPr>
        <w:p w14:paraId="5F1373EC" w14:textId="77777777" w:rsidR="008C75C2" w:rsidRPr="003766E1" w:rsidRDefault="008C75C2" w:rsidP="008C75C2">
          <w:pPr>
            <w:rPr>
              <w:rFonts w:ascii="Gill Sans MT" w:eastAsia="Times New Roman" w:hAnsi="Gill Sans MT" w:cs="Times New Roman"/>
              <w:sz w:val="14"/>
              <w:szCs w:val="14"/>
              <w:lang w:val="es-ES" w:eastAsia="es-ES"/>
            </w:rPr>
          </w:pPr>
          <w:r w:rsidRPr="003766E1">
            <w:rPr>
              <w:rFonts w:ascii="Gill Sans MT" w:eastAsia="Times New Roman" w:hAnsi="Gill Sans MT" w:cs="Times New Roman"/>
              <w:sz w:val="14"/>
              <w:szCs w:val="14"/>
              <w:lang w:val="es-ES" w:eastAsia="es-ES"/>
            </w:rPr>
            <w:t>SUBSECRETARÍA</w:t>
          </w:r>
        </w:p>
      </w:tc>
    </w:tr>
    <w:tr w:rsidR="008C75C2" w:rsidRPr="00AF2968" w14:paraId="2CB7FA2D" w14:textId="77777777" w:rsidTr="008C75C2">
      <w:trPr>
        <w:cantSplit/>
        <w:trHeight w:val="1136"/>
      </w:trPr>
      <w:tc>
        <w:tcPr>
          <w:tcW w:w="736" w:type="pct"/>
          <w:vMerge/>
          <w:vAlign w:val="center"/>
        </w:tcPr>
        <w:p w14:paraId="77F685C8" w14:textId="77777777" w:rsidR="008C75C2" w:rsidRPr="003766E1" w:rsidRDefault="008C75C2" w:rsidP="00E50EA2">
          <w:pPr>
            <w:widowControl/>
            <w:tabs>
              <w:tab w:val="right" w:pos="8504"/>
            </w:tabs>
            <w:spacing w:before="120" w:after="60"/>
            <w:ind w:right="-70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2279" w:type="pct"/>
          <w:vMerge/>
          <w:vAlign w:val="center"/>
        </w:tcPr>
        <w:p w14:paraId="477732DB" w14:textId="77777777" w:rsidR="008C75C2" w:rsidRPr="003766E1" w:rsidRDefault="008C75C2" w:rsidP="00E50EA2">
          <w:pPr>
            <w:widowControl/>
            <w:tabs>
              <w:tab w:val="center" w:pos="4252"/>
              <w:tab w:val="right" w:pos="8504"/>
            </w:tabs>
            <w:rPr>
              <w:rFonts w:ascii="Garrison Light Sans" w:eastAsia="Times New Roman" w:hAnsi="Garrison Light Sans" w:cs="Times New Roman"/>
              <w:b/>
              <w:sz w:val="4"/>
              <w:szCs w:val="20"/>
              <w:lang w:val="es-ES_tradnl" w:eastAsia="es-ES"/>
            </w:rPr>
          </w:pPr>
        </w:p>
      </w:tc>
      <w:tc>
        <w:tcPr>
          <w:tcW w:w="1985" w:type="pct"/>
          <w:vAlign w:val="center"/>
        </w:tcPr>
        <w:p w14:paraId="42E6D64C" w14:textId="77777777" w:rsidR="008C75C2" w:rsidRPr="003766E1" w:rsidRDefault="008C75C2" w:rsidP="00E50EA2">
          <w:pPr>
            <w:tabs>
              <w:tab w:val="left" w:pos="2268"/>
            </w:tabs>
            <w:jc w:val="both"/>
            <w:rPr>
              <w:rFonts w:ascii="Gill Sans MT" w:eastAsia="Times New Roman" w:hAnsi="Gill Sans MT" w:cs="Times New Roman"/>
              <w:spacing w:val="-2"/>
              <w:sz w:val="10"/>
              <w:szCs w:val="10"/>
              <w:lang w:val="es-ES" w:eastAsia="es-ES"/>
            </w:rPr>
          </w:pPr>
          <w:r w:rsidRPr="003766E1">
            <w:rPr>
              <w:rFonts w:ascii="Gill Sans MT" w:eastAsia="Times New Roman" w:hAnsi="Gill Sans MT" w:cs="Times New Roman"/>
              <w:spacing w:val="-2"/>
              <w:sz w:val="14"/>
              <w:szCs w:val="14"/>
              <w:lang w:val="es-ES" w:eastAsia="es-ES"/>
            </w:rPr>
            <w:t>DIRECCIÓN GENERAL DE RACIONALIZACIÓN Y CENTRALIZACIÓN DE LA CONTRATACIÓN</w:t>
          </w:r>
          <w:r w:rsidDel="008C75C2">
            <w:rPr>
              <w:rFonts w:ascii="Gill Sans MT" w:eastAsia="Times New Roman" w:hAnsi="Gill Sans MT" w:cs="Times New Roman"/>
              <w:spacing w:val="-2"/>
              <w:sz w:val="10"/>
              <w:szCs w:val="10"/>
              <w:lang w:val="es-ES" w:eastAsia="es-ES"/>
            </w:rPr>
            <w:t xml:space="preserve"> </w:t>
          </w:r>
        </w:p>
      </w:tc>
    </w:tr>
  </w:tbl>
  <w:p w14:paraId="29055EA6" w14:textId="77777777" w:rsidR="007341A2" w:rsidRPr="00FC521A" w:rsidRDefault="007341A2">
    <w:pPr>
      <w:rPr>
        <w:lang w:val="es-ES"/>
      </w:rPr>
    </w:pPr>
  </w:p>
  <w:p w14:paraId="4E0CD906" w14:textId="77777777" w:rsidR="004850CC" w:rsidRPr="00FC521A" w:rsidRDefault="004850CC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04" w:hanging="28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710" w:hanging="284"/>
      </w:pPr>
    </w:lvl>
    <w:lvl w:ilvl="2">
      <w:numFmt w:val="bullet"/>
      <w:lvlText w:val="•"/>
      <w:lvlJc w:val="left"/>
      <w:pPr>
        <w:ind w:left="2416" w:hanging="284"/>
      </w:pPr>
    </w:lvl>
    <w:lvl w:ilvl="3">
      <w:numFmt w:val="bullet"/>
      <w:lvlText w:val="•"/>
      <w:lvlJc w:val="left"/>
      <w:pPr>
        <w:ind w:left="3122" w:hanging="284"/>
      </w:pPr>
    </w:lvl>
    <w:lvl w:ilvl="4">
      <w:numFmt w:val="bullet"/>
      <w:lvlText w:val="•"/>
      <w:lvlJc w:val="left"/>
      <w:pPr>
        <w:ind w:left="3828" w:hanging="284"/>
      </w:pPr>
    </w:lvl>
    <w:lvl w:ilvl="5">
      <w:numFmt w:val="bullet"/>
      <w:lvlText w:val="•"/>
      <w:lvlJc w:val="left"/>
      <w:pPr>
        <w:ind w:left="4534" w:hanging="284"/>
      </w:pPr>
    </w:lvl>
    <w:lvl w:ilvl="6">
      <w:numFmt w:val="bullet"/>
      <w:lvlText w:val="•"/>
      <w:lvlJc w:val="left"/>
      <w:pPr>
        <w:ind w:left="5240" w:hanging="284"/>
      </w:pPr>
    </w:lvl>
    <w:lvl w:ilvl="7">
      <w:numFmt w:val="bullet"/>
      <w:lvlText w:val="•"/>
      <w:lvlJc w:val="left"/>
      <w:pPr>
        <w:ind w:left="5946" w:hanging="284"/>
      </w:pPr>
    </w:lvl>
    <w:lvl w:ilvl="8">
      <w:numFmt w:val="bullet"/>
      <w:lvlText w:val="•"/>
      <w:lvlJc w:val="left"/>
      <w:pPr>
        <w:ind w:left="6652" w:hanging="284"/>
      </w:pPr>
    </w:lvl>
  </w:abstractNum>
  <w:abstractNum w:abstractNumId="1" w15:restartNumberingAfterBreak="0">
    <w:nsid w:val="08111ED7"/>
    <w:multiLevelType w:val="multilevel"/>
    <w:tmpl w:val="92C29238"/>
    <w:lvl w:ilvl="0">
      <w:start w:val="7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5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862245"/>
    <w:multiLevelType w:val="hybridMultilevel"/>
    <w:tmpl w:val="DEEE0F14"/>
    <w:lvl w:ilvl="0" w:tplc="298A183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5132A"/>
    <w:multiLevelType w:val="hybridMultilevel"/>
    <w:tmpl w:val="8BDA9B36"/>
    <w:lvl w:ilvl="0" w:tplc="99B2DFA6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01B03F4"/>
    <w:multiLevelType w:val="hybridMultilevel"/>
    <w:tmpl w:val="077EB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21E6"/>
    <w:multiLevelType w:val="hybridMultilevel"/>
    <w:tmpl w:val="53EE53D0"/>
    <w:lvl w:ilvl="0" w:tplc="99B2DFA6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0576F5E"/>
    <w:multiLevelType w:val="hybridMultilevel"/>
    <w:tmpl w:val="84C05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9EE"/>
    <w:multiLevelType w:val="hybridMultilevel"/>
    <w:tmpl w:val="91224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00D5A"/>
    <w:multiLevelType w:val="hybridMultilevel"/>
    <w:tmpl w:val="B8BCBA52"/>
    <w:lvl w:ilvl="0" w:tplc="AFACFA60">
      <w:start w:val="1"/>
      <w:numFmt w:val="bullet"/>
      <w:lvlText w:val="-"/>
      <w:lvlJc w:val="left"/>
      <w:pPr>
        <w:ind w:left="1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 w15:restartNumberingAfterBreak="0">
    <w:nsid w:val="252126AF"/>
    <w:multiLevelType w:val="hybridMultilevel"/>
    <w:tmpl w:val="5E6847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025FE"/>
    <w:multiLevelType w:val="hybridMultilevel"/>
    <w:tmpl w:val="8CC87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A1B16"/>
    <w:multiLevelType w:val="hybridMultilevel"/>
    <w:tmpl w:val="925667BC"/>
    <w:lvl w:ilvl="0" w:tplc="37D4097A">
      <w:start w:val="1"/>
      <w:numFmt w:val="ordinalText"/>
      <w:lvlText w:val="%1.-"/>
      <w:lvlJc w:val="left"/>
      <w:pPr>
        <w:ind w:left="107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C46DD"/>
    <w:multiLevelType w:val="hybridMultilevel"/>
    <w:tmpl w:val="8C3098DA"/>
    <w:lvl w:ilvl="0" w:tplc="ADE233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6A1337"/>
    <w:multiLevelType w:val="hybridMultilevel"/>
    <w:tmpl w:val="CBBA1E66"/>
    <w:lvl w:ilvl="0" w:tplc="657C9EDC">
      <w:start w:val="1"/>
      <w:numFmt w:val="ordinalText"/>
      <w:lvlText w:val="%1.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963CE"/>
    <w:multiLevelType w:val="hybridMultilevel"/>
    <w:tmpl w:val="EEAAA04E"/>
    <w:lvl w:ilvl="0" w:tplc="736C8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6D14"/>
    <w:multiLevelType w:val="hybridMultilevel"/>
    <w:tmpl w:val="E8825330"/>
    <w:lvl w:ilvl="0" w:tplc="D0665894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02A7"/>
    <w:multiLevelType w:val="hybridMultilevel"/>
    <w:tmpl w:val="52089466"/>
    <w:lvl w:ilvl="0" w:tplc="657C9EDC">
      <w:start w:val="1"/>
      <w:numFmt w:val="ordinalText"/>
      <w:lvlText w:val="%1.-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FC65FC9"/>
    <w:multiLevelType w:val="hybridMultilevel"/>
    <w:tmpl w:val="CAD014FE"/>
    <w:lvl w:ilvl="0" w:tplc="C530727E">
      <w:start w:val="5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0C80949"/>
    <w:multiLevelType w:val="hybridMultilevel"/>
    <w:tmpl w:val="B3A43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6FFF"/>
    <w:multiLevelType w:val="hybridMultilevel"/>
    <w:tmpl w:val="A96AEC76"/>
    <w:lvl w:ilvl="0" w:tplc="657C9EDC">
      <w:start w:val="1"/>
      <w:numFmt w:val="ordinalText"/>
      <w:lvlText w:val="%1.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833A7"/>
    <w:multiLevelType w:val="hybridMultilevel"/>
    <w:tmpl w:val="ACD2A192"/>
    <w:lvl w:ilvl="0" w:tplc="CF2E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0364"/>
    <w:multiLevelType w:val="hybridMultilevel"/>
    <w:tmpl w:val="9556A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2DF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3144"/>
    <w:multiLevelType w:val="hybridMultilevel"/>
    <w:tmpl w:val="1AE2D06A"/>
    <w:lvl w:ilvl="0" w:tplc="585677E6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10BE0"/>
    <w:multiLevelType w:val="hybridMultilevel"/>
    <w:tmpl w:val="724E8E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B1E00"/>
    <w:multiLevelType w:val="hybridMultilevel"/>
    <w:tmpl w:val="159C6786"/>
    <w:lvl w:ilvl="0" w:tplc="C9369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13B2B"/>
    <w:multiLevelType w:val="hybridMultilevel"/>
    <w:tmpl w:val="3C8C1BA6"/>
    <w:lvl w:ilvl="0" w:tplc="DE9459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E50D56"/>
    <w:multiLevelType w:val="hybridMultilevel"/>
    <w:tmpl w:val="159C6786"/>
    <w:lvl w:ilvl="0" w:tplc="C9369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958D3"/>
    <w:multiLevelType w:val="hybridMultilevel"/>
    <w:tmpl w:val="CED690C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9E2E57"/>
    <w:multiLevelType w:val="hybridMultilevel"/>
    <w:tmpl w:val="7A022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3540">
    <w:abstractNumId w:val="9"/>
  </w:num>
  <w:num w:numId="2" w16cid:durableId="398330880">
    <w:abstractNumId w:val="20"/>
  </w:num>
  <w:num w:numId="3" w16cid:durableId="297684714">
    <w:abstractNumId w:val="8"/>
  </w:num>
  <w:num w:numId="4" w16cid:durableId="431510329">
    <w:abstractNumId w:val="6"/>
  </w:num>
  <w:num w:numId="5" w16cid:durableId="67965414">
    <w:abstractNumId w:val="4"/>
  </w:num>
  <w:num w:numId="6" w16cid:durableId="1918395456">
    <w:abstractNumId w:val="25"/>
  </w:num>
  <w:num w:numId="7" w16cid:durableId="737676772">
    <w:abstractNumId w:val="1"/>
  </w:num>
  <w:num w:numId="8" w16cid:durableId="2022971692">
    <w:abstractNumId w:val="14"/>
  </w:num>
  <w:num w:numId="9" w16cid:durableId="363556067">
    <w:abstractNumId w:val="26"/>
  </w:num>
  <w:num w:numId="10" w16cid:durableId="700014249">
    <w:abstractNumId w:val="24"/>
  </w:num>
  <w:num w:numId="11" w16cid:durableId="486672095">
    <w:abstractNumId w:val="2"/>
  </w:num>
  <w:num w:numId="12" w16cid:durableId="1895846999">
    <w:abstractNumId w:val="28"/>
  </w:num>
  <w:num w:numId="13" w16cid:durableId="160583300">
    <w:abstractNumId w:val="0"/>
  </w:num>
  <w:num w:numId="14" w16cid:durableId="1192381956">
    <w:abstractNumId w:val="21"/>
  </w:num>
  <w:num w:numId="15" w16cid:durableId="199519879">
    <w:abstractNumId w:val="7"/>
  </w:num>
  <w:num w:numId="16" w16cid:durableId="2142380400">
    <w:abstractNumId w:val="17"/>
  </w:num>
  <w:num w:numId="17" w16cid:durableId="227543710">
    <w:abstractNumId w:val="10"/>
  </w:num>
  <w:num w:numId="18" w16cid:durableId="1531409975">
    <w:abstractNumId w:val="3"/>
  </w:num>
  <w:num w:numId="19" w16cid:durableId="1236479061">
    <w:abstractNumId w:val="5"/>
  </w:num>
  <w:num w:numId="20" w16cid:durableId="1043288123">
    <w:abstractNumId w:val="11"/>
  </w:num>
  <w:num w:numId="21" w16cid:durableId="2002736169">
    <w:abstractNumId w:val="15"/>
  </w:num>
  <w:num w:numId="22" w16cid:durableId="1911037651">
    <w:abstractNumId w:val="22"/>
  </w:num>
  <w:num w:numId="23" w16cid:durableId="686755074">
    <w:abstractNumId w:val="16"/>
  </w:num>
  <w:num w:numId="24" w16cid:durableId="1120756173">
    <w:abstractNumId w:val="19"/>
  </w:num>
  <w:num w:numId="25" w16cid:durableId="1343511482">
    <w:abstractNumId w:val="13"/>
  </w:num>
  <w:num w:numId="26" w16cid:durableId="1752192935">
    <w:abstractNumId w:val="27"/>
  </w:num>
  <w:num w:numId="27" w16cid:durableId="484132662">
    <w:abstractNumId w:val="18"/>
  </w:num>
  <w:num w:numId="28" w16cid:durableId="402653254">
    <w:abstractNumId w:val="12"/>
  </w:num>
  <w:num w:numId="29" w16cid:durableId="6144098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2A"/>
    <w:rsid w:val="00001047"/>
    <w:rsid w:val="000013E0"/>
    <w:rsid w:val="00001B27"/>
    <w:rsid w:val="000063C9"/>
    <w:rsid w:val="000133EB"/>
    <w:rsid w:val="000148FE"/>
    <w:rsid w:val="00014A78"/>
    <w:rsid w:val="00015AFC"/>
    <w:rsid w:val="000170AB"/>
    <w:rsid w:val="00030DED"/>
    <w:rsid w:val="00031B6C"/>
    <w:rsid w:val="000333BB"/>
    <w:rsid w:val="00034AB5"/>
    <w:rsid w:val="000355A4"/>
    <w:rsid w:val="000357FA"/>
    <w:rsid w:val="00043DE8"/>
    <w:rsid w:val="00045A3E"/>
    <w:rsid w:val="00046A7F"/>
    <w:rsid w:val="00051B06"/>
    <w:rsid w:val="000522DE"/>
    <w:rsid w:val="0005762C"/>
    <w:rsid w:val="00065981"/>
    <w:rsid w:val="00065A97"/>
    <w:rsid w:val="00065CA0"/>
    <w:rsid w:val="00067A44"/>
    <w:rsid w:val="000724BC"/>
    <w:rsid w:val="00072D66"/>
    <w:rsid w:val="00072F4F"/>
    <w:rsid w:val="00074B0E"/>
    <w:rsid w:val="00075F84"/>
    <w:rsid w:val="000772D1"/>
    <w:rsid w:val="000778F8"/>
    <w:rsid w:val="00077B83"/>
    <w:rsid w:val="00087F27"/>
    <w:rsid w:val="00090154"/>
    <w:rsid w:val="00094429"/>
    <w:rsid w:val="00095386"/>
    <w:rsid w:val="00097DC5"/>
    <w:rsid w:val="000A5AD9"/>
    <w:rsid w:val="000A68CD"/>
    <w:rsid w:val="000B30DF"/>
    <w:rsid w:val="000B44D3"/>
    <w:rsid w:val="000B485E"/>
    <w:rsid w:val="000B6371"/>
    <w:rsid w:val="000B6C8B"/>
    <w:rsid w:val="000C025E"/>
    <w:rsid w:val="000C26C4"/>
    <w:rsid w:val="000C41F7"/>
    <w:rsid w:val="000C77DC"/>
    <w:rsid w:val="000D7F19"/>
    <w:rsid w:val="000E1281"/>
    <w:rsid w:val="000E4AFE"/>
    <w:rsid w:val="000F0ED9"/>
    <w:rsid w:val="000F6C1D"/>
    <w:rsid w:val="00100074"/>
    <w:rsid w:val="001012F8"/>
    <w:rsid w:val="001040B6"/>
    <w:rsid w:val="00106956"/>
    <w:rsid w:val="00106E38"/>
    <w:rsid w:val="00110D02"/>
    <w:rsid w:val="001127C3"/>
    <w:rsid w:val="00114252"/>
    <w:rsid w:val="0012179B"/>
    <w:rsid w:val="001253B1"/>
    <w:rsid w:val="001308F1"/>
    <w:rsid w:val="00132CBD"/>
    <w:rsid w:val="001346AD"/>
    <w:rsid w:val="00135559"/>
    <w:rsid w:val="0013774F"/>
    <w:rsid w:val="00142977"/>
    <w:rsid w:val="001433BB"/>
    <w:rsid w:val="00143C0B"/>
    <w:rsid w:val="00143F1F"/>
    <w:rsid w:val="00144DFB"/>
    <w:rsid w:val="00146FF3"/>
    <w:rsid w:val="00152842"/>
    <w:rsid w:val="00154D79"/>
    <w:rsid w:val="001570AC"/>
    <w:rsid w:val="001579D2"/>
    <w:rsid w:val="00163693"/>
    <w:rsid w:val="00163CF1"/>
    <w:rsid w:val="001749FB"/>
    <w:rsid w:val="001771BD"/>
    <w:rsid w:val="001772C5"/>
    <w:rsid w:val="00183385"/>
    <w:rsid w:val="001862CE"/>
    <w:rsid w:val="00190486"/>
    <w:rsid w:val="00190D1E"/>
    <w:rsid w:val="0019203E"/>
    <w:rsid w:val="00197367"/>
    <w:rsid w:val="001A422B"/>
    <w:rsid w:val="001A43FC"/>
    <w:rsid w:val="001A575E"/>
    <w:rsid w:val="001B4185"/>
    <w:rsid w:val="001B4696"/>
    <w:rsid w:val="001B5CF5"/>
    <w:rsid w:val="001B752A"/>
    <w:rsid w:val="001B7A8C"/>
    <w:rsid w:val="001C3708"/>
    <w:rsid w:val="001C42CD"/>
    <w:rsid w:val="001C527A"/>
    <w:rsid w:val="001C5969"/>
    <w:rsid w:val="001C6E7F"/>
    <w:rsid w:val="001D0DD0"/>
    <w:rsid w:val="001D3751"/>
    <w:rsid w:val="001D3B8B"/>
    <w:rsid w:val="001D676F"/>
    <w:rsid w:val="001D7DD6"/>
    <w:rsid w:val="001E1593"/>
    <w:rsid w:val="001E3D11"/>
    <w:rsid w:val="001F2502"/>
    <w:rsid w:val="001F4FB6"/>
    <w:rsid w:val="001F5C32"/>
    <w:rsid w:val="001F6FB2"/>
    <w:rsid w:val="001F7BA1"/>
    <w:rsid w:val="00202A66"/>
    <w:rsid w:val="00203DAC"/>
    <w:rsid w:val="00203ED5"/>
    <w:rsid w:val="00217A26"/>
    <w:rsid w:val="002235C2"/>
    <w:rsid w:val="00224A4C"/>
    <w:rsid w:val="0022746E"/>
    <w:rsid w:val="00233065"/>
    <w:rsid w:val="00237071"/>
    <w:rsid w:val="00244BA1"/>
    <w:rsid w:val="00247EE1"/>
    <w:rsid w:val="00250DB6"/>
    <w:rsid w:val="00252F4E"/>
    <w:rsid w:val="00253D7E"/>
    <w:rsid w:val="0025633A"/>
    <w:rsid w:val="00257EE1"/>
    <w:rsid w:val="00264309"/>
    <w:rsid w:val="0026538F"/>
    <w:rsid w:val="002718B4"/>
    <w:rsid w:val="0027599C"/>
    <w:rsid w:val="002771DD"/>
    <w:rsid w:val="00285E7B"/>
    <w:rsid w:val="00286C82"/>
    <w:rsid w:val="00291FD1"/>
    <w:rsid w:val="00292F66"/>
    <w:rsid w:val="002A61D8"/>
    <w:rsid w:val="002B29DC"/>
    <w:rsid w:val="002C1D9D"/>
    <w:rsid w:val="002C3263"/>
    <w:rsid w:val="002C7295"/>
    <w:rsid w:val="002D09F0"/>
    <w:rsid w:val="002E2881"/>
    <w:rsid w:val="002E2B6D"/>
    <w:rsid w:val="002E3F42"/>
    <w:rsid w:val="002E4884"/>
    <w:rsid w:val="002E7D71"/>
    <w:rsid w:val="002F13EE"/>
    <w:rsid w:val="002F2833"/>
    <w:rsid w:val="002F4A65"/>
    <w:rsid w:val="002F4DB2"/>
    <w:rsid w:val="002F6B2B"/>
    <w:rsid w:val="00301B9B"/>
    <w:rsid w:val="00303DF9"/>
    <w:rsid w:val="003042CA"/>
    <w:rsid w:val="0030469C"/>
    <w:rsid w:val="00304ED1"/>
    <w:rsid w:val="003059CA"/>
    <w:rsid w:val="00306E1C"/>
    <w:rsid w:val="00310456"/>
    <w:rsid w:val="00311A64"/>
    <w:rsid w:val="00316153"/>
    <w:rsid w:val="00320815"/>
    <w:rsid w:val="00331CDC"/>
    <w:rsid w:val="00331EB2"/>
    <w:rsid w:val="003347A0"/>
    <w:rsid w:val="003372E8"/>
    <w:rsid w:val="00340D37"/>
    <w:rsid w:val="00342DDA"/>
    <w:rsid w:val="00347F6F"/>
    <w:rsid w:val="003544D8"/>
    <w:rsid w:val="00361A69"/>
    <w:rsid w:val="00362175"/>
    <w:rsid w:val="00363FA5"/>
    <w:rsid w:val="003706BB"/>
    <w:rsid w:val="003733B4"/>
    <w:rsid w:val="00373943"/>
    <w:rsid w:val="00375449"/>
    <w:rsid w:val="003764D9"/>
    <w:rsid w:val="003765A3"/>
    <w:rsid w:val="003766E1"/>
    <w:rsid w:val="00381F7F"/>
    <w:rsid w:val="00390412"/>
    <w:rsid w:val="00390998"/>
    <w:rsid w:val="00391EEC"/>
    <w:rsid w:val="0039293D"/>
    <w:rsid w:val="00392FA9"/>
    <w:rsid w:val="00397812"/>
    <w:rsid w:val="00397BF9"/>
    <w:rsid w:val="00397CED"/>
    <w:rsid w:val="003A16D1"/>
    <w:rsid w:val="003A5C42"/>
    <w:rsid w:val="003A71EE"/>
    <w:rsid w:val="003A7B04"/>
    <w:rsid w:val="003B3FC5"/>
    <w:rsid w:val="003B5189"/>
    <w:rsid w:val="003C0508"/>
    <w:rsid w:val="003C3D5F"/>
    <w:rsid w:val="003C4042"/>
    <w:rsid w:val="003C4E50"/>
    <w:rsid w:val="003C738D"/>
    <w:rsid w:val="003D081E"/>
    <w:rsid w:val="003D2760"/>
    <w:rsid w:val="003D3C75"/>
    <w:rsid w:val="003D4A53"/>
    <w:rsid w:val="003D5140"/>
    <w:rsid w:val="003D655C"/>
    <w:rsid w:val="003E1D7E"/>
    <w:rsid w:val="003E2793"/>
    <w:rsid w:val="003E438F"/>
    <w:rsid w:val="003E5309"/>
    <w:rsid w:val="003F196C"/>
    <w:rsid w:val="003F39DA"/>
    <w:rsid w:val="003F4E2E"/>
    <w:rsid w:val="003F605D"/>
    <w:rsid w:val="003F7AB6"/>
    <w:rsid w:val="003F7E8F"/>
    <w:rsid w:val="004024B1"/>
    <w:rsid w:val="0040377A"/>
    <w:rsid w:val="0040446F"/>
    <w:rsid w:val="00404DBC"/>
    <w:rsid w:val="004108B6"/>
    <w:rsid w:val="00411AAD"/>
    <w:rsid w:val="00412E5D"/>
    <w:rsid w:val="00412FA2"/>
    <w:rsid w:val="004167D5"/>
    <w:rsid w:val="004176DC"/>
    <w:rsid w:val="004251F1"/>
    <w:rsid w:val="00425AF1"/>
    <w:rsid w:val="00425F19"/>
    <w:rsid w:val="004363FD"/>
    <w:rsid w:val="00437B33"/>
    <w:rsid w:val="00441D6A"/>
    <w:rsid w:val="00450917"/>
    <w:rsid w:val="00452420"/>
    <w:rsid w:val="004541E9"/>
    <w:rsid w:val="00454A35"/>
    <w:rsid w:val="00455043"/>
    <w:rsid w:val="004608F7"/>
    <w:rsid w:val="004621AD"/>
    <w:rsid w:val="00463D66"/>
    <w:rsid w:val="004664D9"/>
    <w:rsid w:val="0047488B"/>
    <w:rsid w:val="0047494F"/>
    <w:rsid w:val="0047653C"/>
    <w:rsid w:val="004810A9"/>
    <w:rsid w:val="00482B50"/>
    <w:rsid w:val="004850CC"/>
    <w:rsid w:val="00491074"/>
    <w:rsid w:val="00493BC5"/>
    <w:rsid w:val="0049723D"/>
    <w:rsid w:val="00497B0B"/>
    <w:rsid w:val="004A2041"/>
    <w:rsid w:val="004A7114"/>
    <w:rsid w:val="004A7634"/>
    <w:rsid w:val="004A77FD"/>
    <w:rsid w:val="004B1D9A"/>
    <w:rsid w:val="004B30CF"/>
    <w:rsid w:val="004B3CFC"/>
    <w:rsid w:val="004B4E3C"/>
    <w:rsid w:val="004C0204"/>
    <w:rsid w:val="004C1686"/>
    <w:rsid w:val="004C7008"/>
    <w:rsid w:val="004D43E9"/>
    <w:rsid w:val="004D78D7"/>
    <w:rsid w:val="004E09A3"/>
    <w:rsid w:val="004E0F44"/>
    <w:rsid w:val="004E1FEF"/>
    <w:rsid w:val="004E50B7"/>
    <w:rsid w:val="004E57DE"/>
    <w:rsid w:val="004F091F"/>
    <w:rsid w:val="004F1B13"/>
    <w:rsid w:val="004F39C8"/>
    <w:rsid w:val="004F4200"/>
    <w:rsid w:val="004F68CA"/>
    <w:rsid w:val="00500CDB"/>
    <w:rsid w:val="005018DE"/>
    <w:rsid w:val="00502628"/>
    <w:rsid w:val="00503E86"/>
    <w:rsid w:val="005050FD"/>
    <w:rsid w:val="00506B14"/>
    <w:rsid w:val="00506B8E"/>
    <w:rsid w:val="005072D1"/>
    <w:rsid w:val="00507C3D"/>
    <w:rsid w:val="00513C32"/>
    <w:rsid w:val="0051499D"/>
    <w:rsid w:val="00523D16"/>
    <w:rsid w:val="0052416D"/>
    <w:rsid w:val="00524624"/>
    <w:rsid w:val="00524F14"/>
    <w:rsid w:val="0052629B"/>
    <w:rsid w:val="00537253"/>
    <w:rsid w:val="0054134D"/>
    <w:rsid w:val="00542A9C"/>
    <w:rsid w:val="00544587"/>
    <w:rsid w:val="00545282"/>
    <w:rsid w:val="00550A66"/>
    <w:rsid w:val="00553359"/>
    <w:rsid w:val="00554395"/>
    <w:rsid w:val="005578FB"/>
    <w:rsid w:val="00567306"/>
    <w:rsid w:val="00570CA6"/>
    <w:rsid w:val="0057309A"/>
    <w:rsid w:val="00573497"/>
    <w:rsid w:val="00575FAF"/>
    <w:rsid w:val="0058293C"/>
    <w:rsid w:val="00583F9B"/>
    <w:rsid w:val="00586FD7"/>
    <w:rsid w:val="005870F9"/>
    <w:rsid w:val="005907F4"/>
    <w:rsid w:val="00593364"/>
    <w:rsid w:val="0059375A"/>
    <w:rsid w:val="00593ECA"/>
    <w:rsid w:val="00596CCE"/>
    <w:rsid w:val="005A019A"/>
    <w:rsid w:val="005A3725"/>
    <w:rsid w:val="005A692A"/>
    <w:rsid w:val="005B2FB1"/>
    <w:rsid w:val="005B429F"/>
    <w:rsid w:val="005B5B21"/>
    <w:rsid w:val="005B7C11"/>
    <w:rsid w:val="005C01DF"/>
    <w:rsid w:val="005C022A"/>
    <w:rsid w:val="005C71BF"/>
    <w:rsid w:val="005C7A0D"/>
    <w:rsid w:val="005E62E6"/>
    <w:rsid w:val="005F3EE5"/>
    <w:rsid w:val="005F4683"/>
    <w:rsid w:val="005F7DC3"/>
    <w:rsid w:val="00604B52"/>
    <w:rsid w:val="006053BF"/>
    <w:rsid w:val="00606AF4"/>
    <w:rsid w:val="0061048F"/>
    <w:rsid w:val="00612018"/>
    <w:rsid w:val="00620311"/>
    <w:rsid w:val="00620B18"/>
    <w:rsid w:val="006218DC"/>
    <w:rsid w:val="0062469B"/>
    <w:rsid w:val="00633467"/>
    <w:rsid w:val="00633D9C"/>
    <w:rsid w:val="00634C5E"/>
    <w:rsid w:val="00636212"/>
    <w:rsid w:val="006451E0"/>
    <w:rsid w:val="00645484"/>
    <w:rsid w:val="0065461A"/>
    <w:rsid w:val="00660D51"/>
    <w:rsid w:val="00663A4B"/>
    <w:rsid w:val="00673A90"/>
    <w:rsid w:val="00677556"/>
    <w:rsid w:val="00681089"/>
    <w:rsid w:val="0068475F"/>
    <w:rsid w:val="006877FF"/>
    <w:rsid w:val="00687BC8"/>
    <w:rsid w:val="00690E44"/>
    <w:rsid w:val="006938E6"/>
    <w:rsid w:val="00695109"/>
    <w:rsid w:val="006964EA"/>
    <w:rsid w:val="006964F8"/>
    <w:rsid w:val="0069687D"/>
    <w:rsid w:val="00697070"/>
    <w:rsid w:val="006A0A3E"/>
    <w:rsid w:val="006A0AFF"/>
    <w:rsid w:val="006A16E4"/>
    <w:rsid w:val="006A3074"/>
    <w:rsid w:val="006A544C"/>
    <w:rsid w:val="006B2B29"/>
    <w:rsid w:val="006B42CF"/>
    <w:rsid w:val="006B59F7"/>
    <w:rsid w:val="006B5ABD"/>
    <w:rsid w:val="006B6B8E"/>
    <w:rsid w:val="006C0683"/>
    <w:rsid w:val="006C3305"/>
    <w:rsid w:val="006C66C7"/>
    <w:rsid w:val="006C67D9"/>
    <w:rsid w:val="006C7958"/>
    <w:rsid w:val="006D115A"/>
    <w:rsid w:val="006D5245"/>
    <w:rsid w:val="006E172F"/>
    <w:rsid w:val="006E3402"/>
    <w:rsid w:val="006E4E5C"/>
    <w:rsid w:val="006F1E9B"/>
    <w:rsid w:val="006F273A"/>
    <w:rsid w:val="006F494F"/>
    <w:rsid w:val="006F4C51"/>
    <w:rsid w:val="006F56D5"/>
    <w:rsid w:val="006F6886"/>
    <w:rsid w:val="00711CB4"/>
    <w:rsid w:val="00713EF1"/>
    <w:rsid w:val="00715E12"/>
    <w:rsid w:val="007204D4"/>
    <w:rsid w:val="007234C0"/>
    <w:rsid w:val="00726144"/>
    <w:rsid w:val="007266A2"/>
    <w:rsid w:val="007341A2"/>
    <w:rsid w:val="00737692"/>
    <w:rsid w:val="00741531"/>
    <w:rsid w:val="007477AD"/>
    <w:rsid w:val="00747BCB"/>
    <w:rsid w:val="0075403F"/>
    <w:rsid w:val="007627D3"/>
    <w:rsid w:val="00763E07"/>
    <w:rsid w:val="007733BE"/>
    <w:rsid w:val="0077341C"/>
    <w:rsid w:val="0077453F"/>
    <w:rsid w:val="00775D17"/>
    <w:rsid w:val="007760C9"/>
    <w:rsid w:val="00776D4E"/>
    <w:rsid w:val="00796250"/>
    <w:rsid w:val="007A3BCC"/>
    <w:rsid w:val="007A7E1A"/>
    <w:rsid w:val="007B13BD"/>
    <w:rsid w:val="007B49E5"/>
    <w:rsid w:val="007B56C5"/>
    <w:rsid w:val="007C0824"/>
    <w:rsid w:val="007C2575"/>
    <w:rsid w:val="007D083C"/>
    <w:rsid w:val="007D45D1"/>
    <w:rsid w:val="007E0EDE"/>
    <w:rsid w:val="007E392E"/>
    <w:rsid w:val="007E4460"/>
    <w:rsid w:val="007E5EF4"/>
    <w:rsid w:val="007E5FF9"/>
    <w:rsid w:val="007F5196"/>
    <w:rsid w:val="008015A8"/>
    <w:rsid w:val="00801BBC"/>
    <w:rsid w:val="00802D0C"/>
    <w:rsid w:val="00803032"/>
    <w:rsid w:val="00803A1E"/>
    <w:rsid w:val="00807287"/>
    <w:rsid w:val="00814E4E"/>
    <w:rsid w:val="00815E6E"/>
    <w:rsid w:val="00816282"/>
    <w:rsid w:val="008171F2"/>
    <w:rsid w:val="00821494"/>
    <w:rsid w:val="008222B6"/>
    <w:rsid w:val="0082278C"/>
    <w:rsid w:val="00826C4E"/>
    <w:rsid w:val="00832132"/>
    <w:rsid w:val="008333F8"/>
    <w:rsid w:val="00833555"/>
    <w:rsid w:val="008353DE"/>
    <w:rsid w:val="00835D12"/>
    <w:rsid w:val="00836F49"/>
    <w:rsid w:val="00842A55"/>
    <w:rsid w:val="008433C4"/>
    <w:rsid w:val="00844AA2"/>
    <w:rsid w:val="008468A4"/>
    <w:rsid w:val="00853492"/>
    <w:rsid w:val="008573CE"/>
    <w:rsid w:val="008631BA"/>
    <w:rsid w:val="00866FB4"/>
    <w:rsid w:val="00872111"/>
    <w:rsid w:val="00877260"/>
    <w:rsid w:val="00882174"/>
    <w:rsid w:val="0088781D"/>
    <w:rsid w:val="0089084F"/>
    <w:rsid w:val="00892365"/>
    <w:rsid w:val="00893918"/>
    <w:rsid w:val="008945D5"/>
    <w:rsid w:val="008947C5"/>
    <w:rsid w:val="00895CB0"/>
    <w:rsid w:val="00896AE7"/>
    <w:rsid w:val="008970E2"/>
    <w:rsid w:val="008A25A7"/>
    <w:rsid w:val="008A3D4A"/>
    <w:rsid w:val="008A6680"/>
    <w:rsid w:val="008B140E"/>
    <w:rsid w:val="008B2602"/>
    <w:rsid w:val="008B5559"/>
    <w:rsid w:val="008C0763"/>
    <w:rsid w:val="008C0D65"/>
    <w:rsid w:val="008C3608"/>
    <w:rsid w:val="008C594E"/>
    <w:rsid w:val="008C652F"/>
    <w:rsid w:val="008C75C2"/>
    <w:rsid w:val="008D06BB"/>
    <w:rsid w:val="008D15E9"/>
    <w:rsid w:val="008D77F3"/>
    <w:rsid w:val="008E1460"/>
    <w:rsid w:val="008E41B8"/>
    <w:rsid w:val="008E49E0"/>
    <w:rsid w:val="008E504D"/>
    <w:rsid w:val="008E5A69"/>
    <w:rsid w:val="008E7E55"/>
    <w:rsid w:val="008F2B35"/>
    <w:rsid w:val="008F5F66"/>
    <w:rsid w:val="00900BF6"/>
    <w:rsid w:val="00903388"/>
    <w:rsid w:val="00911ED8"/>
    <w:rsid w:val="00917DCE"/>
    <w:rsid w:val="00920B6D"/>
    <w:rsid w:val="00923680"/>
    <w:rsid w:val="00930150"/>
    <w:rsid w:val="00932EB4"/>
    <w:rsid w:val="009401C0"/>
    <w:rsid w:val="00940DEB"/>
    <w:rsid w:val="009422ED"/>
    <w:rsid w:val="00953ABB"/>
    <w:rsid w:val="00954600"/>
    <w:rsid w:val="009554FD"/>
    <w:rsid w:val="00957757"/>
    <w:rsid w:val="00961D5D"/>
    <w:rsid w:val="00961E02"/>
    <w:rsid w:val="00964A9A"/>
    <w:rsid w:val="00966217"/>
    <w:rsid w:val="009710E1"/>
    <w:rsid w:val="00971D3A"/>
    <w:rsid w:val="0097267A"/>
    <w:rsid w:val="00972914"/>
    <w:rsid w:val="00975CD4"/>
    <w:rsid w:val="00990EFB"/>
    <w:rsid w:val="00995E83"/>
    <w:rsid w:val="0099777C"/>
    <w:rsid w:val="009A0D82"/>
    <w:rsid w:val="009A250E"/>
    <w:rsid w:val="009A29C5"/>
    <w:rsid w:val="009A4051"/>
    <w:rsid w:val="009A7BD3"/>
    <w:rsid w:val="009B0068"/>
    <w:rsid w:val="009B1491"/>
    <w:rsid w:val="009B6E68"/>
    <w:rsid w:val="009B7994"/>
    <w:rsid w:val="009B7C10"/>
    <w:rsid w:val="009C0E57"/>
    <w:rsid w:val="009C3354"/>
    <w:rsid w:val="009D25F7"/>
    <w:rsid w:val="009D2AF9"/>
    <w:rsid w:val="009D362C"/>
    <w:rsid w:val="009D5534"/>
    <w:rsid w:val="009D7136"/>
    <w:rsid w:val="009E41F9"/>
    <w:rsid w:val="009F06B0"/>
    <w:rsid w:val="009F0E21"/>
    <w:rsid w:val="00A039B2"/>
    <w:rsid w:val="00A03CEC"/>
    <w:rsid w:val="00A113F9"/>
    <w:rsid w:val="00A11473"/>
    <w:rsid w:val="00A14756"/>
    <w:rsid w:val="00A14ECA"/>
    <w:rsid w:val="00A15298"/>
    <w:rsid w:val="00A152E7"/>
    <w:rsid w:val="00A2024D"/>
    <w:rsid w:val="00A22D66"/>
    <w:rsid w:val="00A235D2"/>
    <w:rsid w:val="00A236A6"/>
    <w:rsid w:val="00A23B60"/>
    <w:rsid w:val="00A26A1D"/>
    <w:rsid w:val="00A305B6"/>
    <w:rsid w:val="00A30CF5"/>
    <w:rsid w:val="00A3353C"/>
    <w:rsid w:val="00A3384B"/>
    <w:rsid w:val="00A36169"/>
    <w:rsid w:val="00A41BDC"/>
    <w:rsid w:val="00A42EA3"/>
    <w:rsid w:val="00A44984"/>
    <w:rsid w:val="00A4544B"/>
    <w:rsid w:val="00A47107"/>
    <w:rsid w:val="00A502E1"/>
    <w:rsid w:val="00A54EBB"/>
    <w:rsid w:val="00A55B02"/>
    <w:rsid w:val="00A5657B"/>
    <w:rsid w:val="00A6399D"/>
    <w:rsid w:val="00A65975"/>
    <w:rsid w:val="00A723B6"/>
    <w:rsid w:val="00A723D6"/>
    <w:rsid w:val="00A7348B"/>
    <w:rsid w:val="00A77215"/>
    <w:rsid w:val="00A9609C"/>
    <w:rsid w:val="00AA2DF4"/>
    <w:rsid w:val="00AA597D"/>
    <w:rsid w:val="00AA6346"/>
    <w:rsid w:val="00AB22C0"/>
    <w:rsid w:val="00AB4A26"/>
    <w:rsid w:val="00AB566D"/>
    <w:rsid w:val="00AB5EE4"/>
    <w:rsid w:val="00AB6262"/>
    <w:rsid w:val="00AC03B7"/>
    <w:rsid w:val="00AC5405"/>
    <w:rsid w:val="00AD3C13"/>
    <w:rsid w:val="00AD46C9"/>
    <w:rsid w:val="00AD4DC6"/>
    <w:rsid w:val="00AD50BD"/>
    <w:rsid w:val="00AD73F2"/>
    <w:rsid w:val="00AD7994"/>
    <w:rsid w:val="00AE1229"/>
    <w:rsid w:val="00AE1CE0"/>
    <w:rsid w:val="00AE47A8"/>
    <w:rsid w:val="00AE4C9F"/>
    <w:rsid w:val="00AF017B"/>
    <w:rsid w:val="00AF2968"/>
    <w:rsid w:val="00AF336F"/>
    <w:rsid w:val="00AF5369"/>
    <w:rsid w:val="00B00ABE"/>
    <w:rsid w:val="00B01D15"/>
    <w:rsid w:val="00B02027"/>
    <w:rsid w:val="00B02411"/>
    <w:rsid w:val="00B0475C"/>
    <w:rsid w:val="00B056BE"/>
    <w:rsid w:val="00B075B5"/>
    <w:rsid w:val="00B10138"/>
    <w:rsid w:val="00B105EB"/>
    <w:rsid w:val="00B11254"/>
    <w:rsid w:val="00B1449D"/>
    <w:rsid w:val="00B21392"/>
    <w:rsid w:val="00B2481F"/>
    <w:rsid w:val="00B37C0B"/>
    <w:rsid w:val="00B51A1D"/>
    <w:rsid w:val="00B55EEA"/>
    <w:rsid w:val="00B6244F"/>
    <w:rsid w:val="00B626CD"/>
    <w:rsid w:val="00B62FCF"/>
    <w:rsid w:val="00B7007C"/>
    <w:rsid w:val="00B75F7B"/>
    <w:rsid w:val="00B7758C"/>
    <w:rsid w:val="00B811E8"/>
    <w:rsid w:val="00B824F1"/>
    <w:rsid w:val="00B8355E"/>
    <w:rsid w:val="00B875CA"/>
    <w:rsid w:val="00B87883"/>
    <w:rsid w:val="00B90139"/>
    <w:rsid w:val="00B9555A"/>
    <w:rsid w:val="00BA2529"/>
    <w:rsid w:val="00BA4D38"/>
    <w:rsid w:val="00BA554F"/>
    <w:rsid w:val="00BA5897"/>
    <w:rsid w:val="00BA5A61"/>
    <w:rsid w:val="00BA73CC"/>
    <w:rsid w:val="00BA7773"/>
    <w:rsid w:val="00BB116B"/>
    <w:rsid w:val="00BC06DC"/>
    <w:rsid w:val="00BC4B5B"/>
    <w:rsid w:val="00BC6119"/>
    <w:rsid w:val="00BC7ED4"/>
    <w:rsid w:val="00BD16D2"/>
    <w:rsid w:val="00BD5D49"/>
    <w:rsid w:val="00BD7CA6"/>
    <w:rsid w:val="00BE1BDB"/>
    <w:rsid w:val="00BE2863"/>
    <w:rsid w:val="00BE6420"/>
    <w:rsid w:val="00BF0BEF"/>
    <w:rsid w:val="00BF4B83"/>
    <w:rsid w:val="00C01687"/>
    <w:rsid w:val="00C03E90"/>
    <w:rsid w:val="00C042D4"/>
    <w:rsid w:val="00C05EAF"/>
    <w:rsid w:val="00C13F4C"/>
    <w:rsid w:val="00C14514"/>
    <w:rsid w:val="00C15FA1"/>
    <w:rsid w:val="00C16B79"/>
    <w:rsid w:val="00C1701F"/>
    <w:rsid w:val="00C257F5"/>
    <w:rsid w:val="00C34847"/>
    <w:rsid w:val="00C354AB"/>
    <w:rsid w:val="00C35F11"/>
    <w:rsid w:val="00C37C7D"/>
    <w:rsid w:val="00C42A07"/>
    <w:rsid w:val="00C44D56"/>
    <w:rsid w:val="00C44F09"/>
    <w:rsid w:val="00C51200"/>
    <w:rsid w:val="00C57A5D"/>
    <w:rsid w:val="00C62660"/>
    <w:rsid w:val="00C665C5"/>
    <w:rsid w:val="00C73E28"/>
    <w:rsid w:val="00C74A97"/>
    <w:rsid w:val="00C7641C"/>
    <w:rsid w:val="00C81481"/>
    <w:rsid w:val="00C8618D"/>
    <w:rsid w:val="00C86933"/>
    <w:rsid w:val="00C86DDF"/>
    <w:rsid w:val="00C90A00"/>
    <w:rsid w:val="00C91B75"/>
    <w:rsid w:val="00C9489C"/>
    <w:rsid w:val="00C96989"/>
    <w:rsid w:val="00C96FC3"/>
    <w:rsid w:val="00CA20B1"/>
    <w:rsid w:val="00CA5172"/>
    <w:rsid w:val="00CA57BE"/>
    <w:rsid w:val="00CA6ABC"/>
    <w:rsid w:val="00CA799A"/>
    <w:rsid w:val="00CB3F98"/>
    <w:rsid w:val="00CB526B"/>
    <w:rsid w:val="00CB592A"/>
    <w:rsid w:val="00CB7A25"/>
    <w:rsid w:val="00CC1A37"/>
    <w:rsid w:val="00CC48DF"/>
    <w:rsid w:val="00CD09C3"/>
    <w:rsid w:val="00CD1CAC"/>
    <w:rsid w:val="00CD3F15"/>
    <w:rsid w:val="00CD6FDE"/>
    <w:rsid w:val="00CD739B"/>
    <w:rsid w:val="00CE35EF"/>
    <w:rsid w:val="00CE3FFB"/>
    <w:rsid w:val="00CE455B"/>
    <w:rsid w:val="00CE47A6"/>
    <w:rsid w:val="00CE5202"/>
    <w:rsid w:val="00CE59A2"/>
    <w:rsid w:val="00CE7BD8"/>
    <w:rsid w:val="00CE7C70"/>
    <w:rsid w:val="00CF62C5"/>
    <w:rsid w:val="00CF6E3C"/>
    <w:rsid w:val="00CF795B"/>
    <w:rsid w:val="00D02BC2"/>
    <w:rsid w:val="00D04842"/>
    <w:rsid w:val="00D0785F"/>
    <w:rsid w:val="00D13C50"/>
    <w:rsid w:val="00D15A1A"/>
    <w:rsid w:val="00D165AE"/>
    <w:rsid w:val="00D17D72"/>
    <w:rsid w:val="00D21725"/>
    <w:rsid w:val="00D21DFC"/>
    <w:rsid w:val="00D24C35"/>
    <w:rsid w:val="00D24FC7"/>
    <w:rsid w:val="00D2640F"/>
    <w:rsid w:val="00D30116"/>
    <w:rsid w:val="00D3048B"/>
    <w:rsid w:val="00D32099"/>
    <w:rsid w:val="00D3512C"/>
    <w:rsid w:val="00D4159A"/>
    <w:rsid w:val="00D438A5"/>
    <w:rsid w:val="00D45524"/>
    <w:rsid w:val="00D4705E"/>
    <w:rsid w:val="00D5765B"/>
    <w:rsid w:val="00D606E2"/>
    <w:rsid w:val="00D655BA"/>
    <w:rsid w:val="00D65BB2"/>
    <w:rsid w:val="00D669FB"/>
    <w:rsid w:val="00D7028B"/>
    <w:rsid w:val="00D718CE"/>
    <w:rsid w:val="00D73C7D"/>
    <w:rsid w:val="00D75660"/>
    <w:rsid w:val="00D76042"/>
    <w:rsid w:val="00D76481"/>
    <w:rsid w:val="00D808B9"/>
    <w:rsid w:val="00D81742"/>
    <w:rsid w:val="00D83ED0"/>
    <w:rsid w:val="00D853F3"/>
    <w:rsid w:val="00D862EC"/>
    <w:rsid w:val="00D93150"/>
    <w:rsid w:val="00DA5338"/>
    <w:rsid w:val="00DA6C05"/>
    <w:rsid w:val="00DA6F4B"/>
    <w:rsid w:val="00DA7350"/>
    <w:rsid w:val="00DB6372"/>
    <w:rsid w:val="00DC4241"/>
    <w:rsid w:val="00DC5A39"/>
    <w:rsid w:val="00DD59F2"/>
    <w:rsid w:val="00DE58CE"/>
    <w:rsid w:val="00DE61E3"/>
    <w:rsid w:val="00DE6A99"/>
    <w:rsid w:val="00DE6DBA"/>
    <w:rsid w:val="00DE75E9"/>
    <w:rsid w:val="00DF4FC1"/>
    <w:rsid w:val="00DF7147"/>
    <w:rsid w:val="00E0104B"/>
    <w:rsid w:val="00E01C53"/>
    <w:rsid w:val="00E12840"/>
    <w:rsid w:val="00E12CDA"/>
    <w:rsid w:val="00E14820"/>
    <w:rsid w:val="00E20594"/>
    <w:rsid w:val="00E25605"/>
    <w:rsid w:val="00E26161"/>
    <w:rsid w:val="00E32669"/>
    <w:rsid w:val="00E33C53"/>
    <w:rsid w:val="00E372F8"/>
    <w:rsid w:val="00E43443"/>
    <w:rsid w:val="00E50240"/>
    <w:rsid w:val="00E50EA2"/>
    <w:rsid w:val="00E51BEA"/>
    <w:rsid w:val="00E606C4"/>
    <w:rsid w:val="00E61A6B"/>
    <w:rsid w:val="00E621A8"/>
    <w:rsid w:val="00E64A87"/>
    <w:rsid w:val="00E72810"/>
    <w:rsid w:val="00E73522"/>
    <w:rsid w:val="00E74327"/>
    <w:rsid w:val="00E76D02"/>
    <w:rsid w:val="00E8616E"/>
    <w:rsid w:val="00E9161E"/>
    <w:rsid w:val="00E94EED"/>
    <w:rsid w:val="00E95A79"/>
    <w:rsid w:val="00E96D31"/>
    <w:rsid w:val="00E97723"/>
    <w:rsid w:val="00EA0AB7"/>
    <w:rsid w:val="00EB0406"/>
    <w:rsid w:val="00EB5B30"/>
    <w:rsid w:val="00EC1AB8"/>
    <w:rsid w:val="00EC681D"/>
    <w:rsid w:val="00EC6D7E"/>
    <w:rsid w:val="00ED1ADB"/>
    <w:rsid w:val="00ED5875"/>
    <w:rsid w:val="00EE02BB"/>
    <w:rsid w:val="00EE0B02"/>
    <w:rsid w:val="00EE0B82"/>
    <w:rsid w:val="00EE1707"/>
    <w:rsid w:val="00EE2564"/>
    <w:rsid w:val="00EE4FF9"/>
    <w:rsid w:val="00EE635F"/>
    <w:rsid w:val="00EE689F"/>
    <w:rsid w:val="00EF4E2A"/>
    <w:rsid w:val="00F00353"/>
    <w:rsid w:val="00F00EE5"/>
    <w:rsid w:val="00F01335"/>
    <w:rsid w:val="00F014B5"/>
    <w:rsid w:val="00F05D46"/>
    <w:rsid w:val="00F128B5"/>
    <w:rsid w:val="00F131AA"/>
    <w:rsid w:val="00F2038E"/>
    <w:rsid w:val="00F22840"/>
    <w:rsid w:val="00F22A55"/>
    <w:rsid w:val="00F24D1C"/>
    <w:rsid w:val="00F325E9"/>
    <w:rsid w:val="00F34C6E"/>
    <w:rsid w:val="00F3639E"/>
    <w:rsid w:val="00F40E69"/>
    <w:rsid w:val="00F46362"/>
    <w:rsid w:val="00F46730"/>
    <w:rsid w:val="00F51B80"/>
    <w:rsid w:val="00F578CD"/>
    <w:rsid w:val="00F6054F"/>
    <w:rsid w:val="00F62155"/>
    <w:rsid w:val="00F71B4E"/>
    <w:rsid w:val="00F72791"/>
    <w:rsid w:val="00F753D2"/>
    <w:rsid w:val="00F755BA"/>
    <w:rsid w:val="00F82398"/>
    <w:rsid w:val="00F83484"/>
    <w:rsid w:val="00F839EB"/>
    <w:rsid w:val="00F83BCB"/>
    <w:rsid w:val="00F8463F"/>
    <w:rsid w:val="00F85243"/>
    <w:rsid w:val="00F90B9D"/>
    <w:rsid w:val="00F921AB"/>
    <w:rsid w:val="00F93980"/>
    <w:rsid w:val="00F9425F"/>
    <w:rsid w:val="00F97CBA"/>
    <w:rsid w:val="00FA1ECC"/>
    <w:rsid w:val="00FB28A1"/>
    <w:rsid w:val="00FB776E"/>
    <w:rsid w:val="00FC00D3"/>
    <w:rsid w:val="00FC3318"/>
    <w:rsid w:val="00FC4320"/>
    <w:rsid w:val="00FC521A"/>
    <w:rsid w:val="00FD2AB6"/>
    <w:rsid w:val="00FD5986"/>
    <w:rsid w:val="00FD72D3"/>
    <w:rsid w:val="00FE01FB"/>
    <w:rsid w:val="00FE258F"/>
    <w:rsid w:val="00FE4D90"/>
    <w:rsid w:val="00FE5473"/>
    <w:rsid w:val="00FE797E"/>
    <w:rsid w:val="00FE7C86"/>
    <w:rsid w:val="00FF4182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8DD76"/>
  <w15:docId w15:val="{236380BC-B4BD-4DA5-82B4-E9BBB36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qFormat/>
    <w:rsid w:val="00C35F11"/>
    <w:pPr>
      <w:keepNext/>
      <w:widowControl/>
      <w:spacing w:line="224" w:lineRule="exact"/>
      <w:jc w:val="both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1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6A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A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A78"/>
  </w:style>
  <w:style w:type="paragraph" w:styleId="Piedepgina">
    <w:name w:val="footer"/>
    <w:basedOn w:val="Normal"/>
    <w:link w:val="PiedepginaCar"/>
    <w:uiPriority w:val="99"/>
    <w:unhideWhenUsed/>
    <w:rsid w:val="00014A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A78"/>
  </w:style>
  <w:style w:type="character" w:styleId="Refdecomentario">
    <w:name w:val="annotation reference"/>
    <w:basedOn w:val="Fuentedeprrafopredeter"/>
    <w:uiPriority w:val="99"/>
    <w:unhideWhenUsed/>
    <w:rsid w:val="00505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5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50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0FD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qFormat/>
    <w:rsid w:val="00BA7773"/>
    <w:pPr>
      <w:widowControl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A777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BA7773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81F7F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Estilo1">
    <w:name w:val="Estilo1"/>
    <w:basedOn w:val="Tablanormal"/>
    <w:uiPriority w:val="99"/>
    <w:rsid w:val="00ED1ADB"/>
    <w:pPr>
      <w:widowControl/>
    </w:pPr>
    <w:tblPr/>
  </w:style>
  <w:style w:type="character" w:styleId="Hipervnculo">
    <w:name w:val="Hyperlink"/>
    <w:rsid w:val="001B752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C35F1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styleId="Refdenotaalpie">
    <w:name w:val="footnote reference"/>
    <w:uiPriority w:val="99"/>
    <w:rsid w:val="00C35F11"/>
  </w:style>
  <w:style w:type="character" w:customStyle="1" w:styleId="PrrafodelistaCar">
    <w:name w:val="Párrafo de lista Car"/>
    <w:link w:val="Prrafodelista"/>
    <w:uiPriority w:val="34"/>
    <w:rsid w:val="00C35F11"/>
  </w:style>
  <w:style w:type="paragraph" w:customStyle="1" w:styleId="Default">
    <w:name w:val="Default"/>
    <w:rsid w:val="00C35F11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table" w:customStyle="1" w:styleId="Tablaconcuadrcula12">
    <w:name w:val="Tabla con cuadrícula12"/>
    <w:basedOn w:val="Tablanormal"/>
    <w:next w:val="Tablaconcuadrcula"/>
    <w:rsid w:val="00E94EED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rsid w:val="00E94EED"/>
    <w:pPr>
      <w:widowControl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3766E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66E1"/>
  </w:style>
  <w:style w:type="table" w:customStyle="1" w:styleId="Tablaconcuadrcula1">
    <w:name w:val="Tabla con cuadrícula1"/>
    <w:basedOn w:val="Tablanormal"/>
    <w:next w:val="Tablaconcuadrcula"/>
    <w:rsid w:val="003766E1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F4200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0469C"/>
    <w:pPr>
      <w:widowControl/>
    </w:pPr>
    <w:rPr>
      <w:lang w:val="es-ES_tradnl"/>
    </w:rPr>
  </w:style>
  <w:style w:type="table" w:customStyle="1" w:styleId="Tablaconcuadrcula3">
    <w:name w:val="Tabla con cuadrícula3"/>
    <w:basedOn w:val="Tablanormal"/>
    <w:next w:val="Tablaconcuadrcula"/>
    <w:rsid w:val="0088781D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97B0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387A-53BD-4FC2-A8BE-CD3EFD75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RELATIVO AL RECURSO DE REPOSICIÓN</vt:lpstr>
    </vt:vector>
  </TitlesOfParts>
  <Company>MINHAP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RELATIVO AL RECURSO DE REPOSICIÓN</dc:title>
  <dc:subject/>
  <dc:creator>Santamaría Cruz, José Santos</dc:creator>
  <cp:keywords/>
  <dc:description/>
  <cp:lastModifiedBy>Arroyo Waldhaus, Carmen</cp:lastModifiedBy>
  <cp:revision>2</cp:revision>
  <cp:lastPrinted>2025-02-26T08:59:00Z</cp:lastPrinted>
  <dcterms:created xsi:type="dcterms:W3CDTF">2025-02-26T13:15:00Z</dcterms:created>
  <dcterms:modified xsi:type="dcterms:W3CDTF">2025-02-26T13:15:00Z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2018-01-16T00:00:00Z</vt:filetime>
  </property>
</Properties>
</file>